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D6" w:rsidRDefault="00D02B1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B2DD6" w:rsidRDefault="00D20494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C8BE7" wp14:editId="7080019E">
            <wp:simplePos x="0" y="0"/>
            <wp:positionH relativeFrom="column">
              <wp:posOffset>2221230</wp:posOffset>
            </wp:positionH>
            <wp:positionV relativeFrom="paragraph">
              <wp:posOffset>78740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B19">
        <w:rPr>
          <w:rFonts w:ascii="Arial" w:hAnsi="Arial" w:cs="Arial"/>
          <w:sz w:val="24"/>
          <w:szCs w:val="24"/>
        </w:rPr>
        <w:tab/>
      </w:r>
      <w:r w:rsidR="00D02B1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B2DD6" w:rsidRDefault="00D02B19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2B2DD6" w:rsidRDefault="00D02B19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25.3.2019</w:t>
      </w:r>
      <w:proofErr w:type="gramEnd"/>
    </w:p>
    <w:p w:rsidR="002B2DD6" w:rsidRDefault="00D02B19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174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226 /19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 u organizace Technická správa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Žatec s.r.o.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půjčky TJ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- LORM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NIV dotace – sociální služby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DPSaPS</w:t>
      </w:r>
      <w:proofErr w:type="spellEnd"/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divadlo Žatec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2019 – MŠ U Jezu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o povolení podání žádosti o podporu v rámci projektu OP VVV –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Šablony II – Výzva č. 02_18_063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o povolení podání žádosti o podporu v rámci projektu OP VVV –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Šablony II – Výzva č. 02_18_063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Komenského alej – žádost o povolení přípojky optického kabelu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– čerpání fondu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investic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ZŠ Petra Bezruče 2000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 – Městské divadlo Žatec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Regionální muzeum Žatec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– Městská knihovna Žatec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Přerušení provozu MŠ Žatec v době letních prázdnin 2019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 MŠ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správců objektů za spravované byty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části pozemku p. p. č. 720/2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nemovitostí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filmového díla s názvem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„UWJ“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Revokace usnesení – Nájem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scén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televizního filmu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část pozemku p. p. č. 6775/3 a část p. p. č.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6777/3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společnosti Žatecká teplárenská, a.s. – Stanovení ceny tepla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2019 a investiční plán na rok 2019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STL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RS Žatec – Nové podměstí, číslo stavby 7700101912"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STL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RS Žatec – Nové podměstí, číslo stavby 7700101912“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STL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RS Žatec – Nové podměstí, číslo stavby 7700101912“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ROI, SP LN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1629-SP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LN_1630“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„Kanalizační přípojka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1918/5,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vodovodní přípojka a přípojka splaškové kanalizace"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Čeradická, 6308-4,1xOM“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směnit pozemek p. p. č. 5655/18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pozemky p. p. č. 4587/12 a p. p. č. 6961/4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část pozemku p. p. č. 7016/2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část pozemku ostatní plocha p. p. č. 405/1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Žatce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část pozemku p. p. č. 6777/5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část pozemku ostatní plocha p. p. č. 744/1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opatření: „Revitalizace městských hradeb v Žatci“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na projektovou dokumentaci „Rekonstrukce výtahu –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porodnice“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právu obdobnému věcnému břemeni – služebnosti při zřizování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dočasného připojení k silnici I. třídy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„MŠ Žatec, U Jezu 2903, budova 2224 –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rekonstrukce elektroinstalace a výměna svítidel“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„Oprava uliční fasády objektů čp. 24 a 25 ZŠ a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 Dvořákova, Žatec“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„MŠS Žatec, Studentská 1416 – rekonstrukce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elektroinstalace a výměna svítidel“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„Úprava povrchů stávajících stání v MPR Žatec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ulice Poděbradova a Dlouhá“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„Oprava komunikací v ul.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Žatec“</w:t>
      </w: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„Oprava komunikací v ul. Kadaňská a ul. Starý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vrch“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dodávce softwarových produktů a poskytování servisních </w:t>
      </w:r>
    </w:p>
    <w:p w:rsidR="002B2DD6" w:rsidRDefault="00D02B1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služeb č. 00265781/000/2018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224/19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SeniorTaxi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výsledek výběrového řízení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Soutěž o logo města Žatce</w:t>
      </w:r>
    </w:p>
    <w:p w:rsidR="002B2DD6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daru od Hasičského záchranného sboru Ústeckého kraje</w:t>
      </w:r>
    </w:p>
    <w:p w:rsidR="00D02B19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D02B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94" w:rsidRDefault="00D204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20494" w:rsidRDefault="00D02B19" w:rsidP="00D204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D02B19" w:rsidRDefault="00D20494" w:rsidP="00D204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25.3.2019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EF02EE" w:rsidRDefault="00EF02EE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EF0BA5" w:rsidTr="00EF02EE">
        <w:tc>
          <w:tcPr>
            <w:tcW w:w="1204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99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7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EF02EE">
        <w:tc>
          <w:tcPr>
            <w:tcW w:w="1204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1" w:type="dxa"/>
            <w:shd w:val="clear" w:color="auto" w:fill="auto"/>
          </w:tcPr>
          <w:p w:rsidR="00EF0BA5" w:rsidRDefault="0004637A" w:rsidP="000C551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7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F0BA5" w:rsidRDefault="0004637A" w:rsidP="000C5516">
            <w:pPr>
              <w:spacing w:line="360" w:lineRule="auto"/>
              <w:jc w:val="center"/>
            </w:pPr>
            <w:r>
              <w:t>omluven</w:t>
            </w:r>
          </w:p>
        </w:tc>
      </w:tr>
      <w:tr w:rsidR="00EF0BA5" w:rsidTr="00EF02EE">
        <w:tc>
          <w:tcPr>
            <w:tcW w:w="1204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EF02EE">
        <w:tc>
          <w:tcPr>
            <w:tcW w:w="1204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D20494" w:rsidRDefault="00D02B19" w:rsidP="00D204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D20494" w:rsidRDefault="00D20494" w:rsidP="00D204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D20494" w:rsidP="00D204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25.3.2019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u organizace Technická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správa města Žatec s.r.o.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výsledku veřejnosprávní kontroly na místě u </w:t>
      </w:r>
    </w:p>
    <w:p w:rsidR="00D20494" w:rsidRDefault="00D02B19" w:rsidP="00D204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Technická správa města Žatec, s.r.o.</w:t>
      </w:r>
    </w:p>
    <w:p w:rsidR="00D20494" w:rsidRDefault="00D20494" w:rsidP="00D204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D20494" w:rsidP="00D204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25.3.2019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HÁNOVÁ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Poskytnutí půjčky TJ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252D22" w:rsidRDefault="00252D22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2D22" w:rsidRDefault="00252D22" w:rsidP="00252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22">
        <w:rPr>
          <w:rFonts w:ascii="Times New Roman" w:hAnsi="Times New Roman" w:cs="Times New Roman"/>
          <w:sz w:val="24"/>
          <w:szCs w:val="24"/>
        </w:rPr>
        <w:t xml:space="preserve">Rada města Žatce projednala žádost Tělovýchovné jednoty Žatec, </w:t>
      </w:r>
      <w:proofErr w:type="spellStart"/>
      <w:r w:rsidRPr="00252D22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252D22">
        <w:rPr>
          <w:rFonts w:ascii="Times New Roman" w:hAnsi="Times New Roman" w:cs="Times New Roman"/>
          <w:sz w:val="24"/>
          <w:szCs w:val="24"/>
        </w:rPr>
        <w:t xml:space="preserve">. ze dne </w:t>
      </w:r>
      <w:proofErr w:type="gramStart"/>
      <w:r w:rsidRPr="00252D22">
        <w:rPr>
          <w:rFonts w:ascii="Times New Roman" w:hAnsi="Times New Roman" w:cs="Times New Roman"/>
          <w:sz w:val="24"/>
          <w:szCs w:val="24"/>
        </w:rPr>
        <w:t>04.03.2019</w:t>
      </w:r>
      <w:proofErr w:type="gramEnd"/>
      <w:r w:rsidRPr="00252D22">
        <w:rPr>
          <w:rFonts w:ascii="Times New Roman" w:hAnsi="Times New Roman" w:cs="Times New Roman"/>
          <w:sz w:val="24"/>
          <w:szCs w:val="24"/>
        </w:rPr>
        <w:t xml:space="preserve"> a doporučuje Zastupitelstvu města Žatce schválit poskytnutí investiční půjčky ve výši 3.000.000,00 Kč na financování akce: „Rozšíření sportovního areálu Tělovýchovné jednoty </w:t>
      </w:r>
      <w:proofErr w:type="gramStart"/>
      <w:r w:rsidRPr="00252D22">
        <w:rPr>
          <w:rFonts w:ascii="Times New Roman" w:hAnsi="Times New Roman" w:cs="Times New Roman"/>
          <w:sz w:val="24"/>
          <w:szCs w:val="24"/>
        </w:rPr>
        <w:t xml:space="preserve">Žatec, </w:t>
      </w:r>
      <w:proofErr w:type="spellStart"/>
      <w:r w:rsidRPr="00252D22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252D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2D22">
        <w:rPr>
          <w:rFonts w:ascii="Times New Roman" w:hAnsi="Times New Roman" w:cs="Times New Roman"/>
          <w:sz w:val="24"/>
          <w:szCs w:val="24"/>
        </w:rPr>
        <w:t xml:space="preserve">, Komenského alej 981, Žatec 438 01, IČ 148 68 57“ s roční úrokovou sazbou 0,5 %. Splatnost půjčky je stanovena v pravidelných ročních splátkách ve výši 500.000,00 Kč vždy k </w:t>
      </w:r>
      <w:proofErr w:type="gramStart"/>
      <w:r w:rsidRPr="00252D22">
        <w:rPr>
          <w:rFonts w:ascii="Times New Roman" w:hAnsi="Times New Roman" w:cs="Times New Roman"/>
          <w:sz w:val="24"/>
          <w:szCs w:val="24"/>
        </w:rPr>
        <w:t>31.12</w:t>
      </w:r>
      <w:proofErr w:type="gramEnd"/>
      <w:r w:rsidRPr="00252D22">
        <w:rPr>
          <w:rFonts w:ascii="Times New Roman" w:hAnsi="Times New Roman" w:cs="Times New Roman"/>
          <w:sz w:val="24"/>
          <w:szCs w:val="24"/>
        </w:rPr>
        <w:t>. daného roku, nejpozději však do 31.12.2025.</w:t>
      </w:r>
    </w:p>
    <w:p w:rsidR="000C402F" w:rsidRDefault="000C402F" w:rsidP="00252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D22" w:rsidRPr="00252D22" w:rsidRDefault="00252D22" w:rsidP="00252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D22">
        <w:rPr>
          <w:rFonts w:ascii="Times New Roman" w:hAnsi="Times New Roman" w:cs="Times New Roman"/>
          <w:sz w:val="24"/>
          <w:szCs w:val="24"/>
        </w:rPr>
        <w:t>Rada města Žatce zároveň doporučuje Zastupitelstvu města Žatce schválit rozpočtové opatření na uvolnění finančních prostředků z rezervního fondu v celkové výši 3.000.000,00 Kč.</w:t>
      </w:r>
    </w:p>
    <w:p w:rsidR="000C402F" w:rsidRDefault="000C402F" w:rsidP="0025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22" w:rsidRDefault="00252D22" w:rsidP="0025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22">
        <w:rPr>
          <w:rFonts w:ascii="Times New Roman" w:hAnsi="Times New Roman" w:cs="Times New Roman"/>
          <w:sz w:val="24"/>
          <w:szCs w:val="24"/>
        </w:rPr>
        <w:t>Výdaje: 741-6171-5901                  - 3.000.000,00 Kč (RF)</w:t>
      </w:r>
    </w:p>
    <w:p w:rsidR="00252D22" w:rsidRPr="00252D22" w:rsidRDefault="00252D22" w:rsidP="0025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22">
        <w:rPr>
          <w:rFonts w:ascii="Times New Roman" w:hAnsi="Times New Roman" w:cs="Times New Roman"/>
          <w:sz w:val="24"/>
          <w:szCs w:val="24"/>
        </w:rPr>
        <w:t xml:space="preserve">Výdaje: 741-3419-6422, </w:t>
      </w:r>
      <w:proofErr w:type="spellStart"/>
      <w:r w:rsidRPr="00252D2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252D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2D22">
        <w:rPr>
          <w:rFonts w:ascii="Times New Roman" w:hAnsi="Times New Roman" w:cs="Times New Roman"/>
          <w:sz w:val="24"/>
          <w:szCs w:val="24"/>
        </w:rPr>
        <w:t>271        + 3.000.000,00</w:t>
      </w:r>
      <w:proofErr w:type="gramEnd"/>
      <w:r w:rsidRPr="00252D22">
        <w:rPr>
          <w:rFonts w:ascii="Times New Roman" w:hAnsi="Times New Roman" w:cs="Times New Roman"/>
          <w:sz w:val="24"/>
          <w:szCs w:val="24"/>
        </w:rPr>
        <w:t xml:space="preserve"> Kč (INV půjčka).</w:t>
      </w:r>
    </w:p>
    <w:p w:rsidR="00252D22" w:rsidRPr="00252D22" w:rsidRDefault="00252D22" w:rsidP="00252D2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- LORM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5.640.000,00 Kč, a to zapojení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13 305 -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podporu sociálních služeb v Ústeckém kraji 2019 pro příspěvkovou organizací Kamarád-LORM, Zeyerova 859, Žatec ve výši 5.639.580,00 Kč.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F02EE" w:rsidRDefault="00EF02EE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NIV dotace – sociální služby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DPSaPS</w:t>
      </w:r>
      <w:proofErr w:type="spellEnd"/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11.694.000,00 Kč, a to zapojení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13 305 -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podporu sociálních služeb v Ústeckém kraji 2019 pro příspěvkovou organizac</w:t>
      </w:r>
      <w:r w:rsidR="00D20494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Domov pro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seniory a Pečovatelská služba v Žatci, Šafaříkova 852, Žatec ve výši 11.694.180,00 Kč.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divadlo Žatec</w:t>
      </w:r>
    </w:p>
    <w:p w:rsidR="00D20494" w:rsidRDefault="00D02B19" w:rsidP="00D204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mimořádné odměny řediteli příspěvkové organizace Městské divadlo Žatec Mgr. Martinu Veselému v navržené výši.</w:t>
      </w:r>
    </w:p>
    <w:p w:rsidR="00D02B19" w:rsidRDefault="00D20494" w:rsidP="00D204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15.4.2019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F02EE" w:rsidRDefault="00EF02EE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04637A" w:rsidP="0004637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04637A" w:rsidP="000C55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04637A" w:rsidP="000C5516">
            <w:pPr>
              <w:spacing w:line="360" w:lineRule="auto"/>
              <w:jc w:val="center"/>
            </w:pPr>
            <w:r>
              <w:t>/</w:t>
            </w: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2019 – MŠ U Jezu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změnu odpisového plánu dlouhodobého majetku na rok 2019 u PO Mateřská škola Žatec, U Jezu 2903, okres Louny, a to ve výši 136.774,00 Kč.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o povolení podání žádosti o podporu v rámci projektu OP VVV –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Šablony II – Výzva č. 02_18_063</w:t>
      </w:r>
    </w:p>
    <w:p w:rsidR="00D02B19" w:rsidRDefault="00D02B19" w:rsidP="00D204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podáním žádosti Základní školy a Mateřské školy, Žatec, Dvořákova 24, okres Louny do dotačního programu MŠMT v rámci projektu OP VVV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Šablony II, výzva č. 02_18_063 na částku 1.276.801,00 Kč bez spoluúčasti zřizovatele, a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na zapojení do konkrétní šablony – Školní asistent pro žáky ohrožené školním neúspěchem.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o povolení podání žádosti o podporu v rámci projektu OP VVV –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Šablony II – Výzva č. 02_18_063</w:t>
      </w:r>
    </w:p>
    <w:p w:rsidR="00D02B19" w:rsidRDefault="00D02B19" w:rsidP="00D204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podáním žádosti Mateřské školy Žatec, Otakara Březiny 2769, okres Louny do dotačního programu MŠMT v rámci projektu OP VVV Šablony II, výzva č.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02_18_063 na částku 537.327,00 Kč bez spoluúčasti zřizovatele, a to na zapojení do konkrétní šablony Školní asistent a Školní speciální pedagog – personální podpora MŠ, vzdělávání pedagogických pracovníků MŠ – DVPP v rozsahu 8 hodin.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Komenského alej – žádost o povolení přípojky optického kabelu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Mgr. Zdeňka Srpa a schvaluje přivedení přípojky optického kabelu pro společnost T Mobile Czech Republic, a.s., se sídlem Praha 4, Tomíčkova 2144/1, IČ 649 49 681.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31FD" w:rsidRDefault="004631FD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Žatec, Komenského alej 749, okres Louny – čerpání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fondu investic</w:t>
      </w:r>
    </w:p>
    <w:p w:rsidR="00D20494" w:rsidRDefault="00D02B19" w:rsidP="00D204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čerpáním fondu investic Základní školy Žatec, Komenského alej 749, okres Louny ve výši 222.018,00 Kč, a to pořízení 2 ks varných kotlů o objemu 150 l do kuchyně ve školní jídelně.</w:t>
      </w:r>
    </w:p>
    <w:p w:rsidR="00D20494" w:rsidRDefault="00D20494" w:rsidP="00D204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D20494" w:rsidP="00D2049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0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29.3.2019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F02EE" w:rsidRDefault="00EF02EE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02EE" w:rsidRDefault="00EF02EE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EF0BA5" w:rsidRDefault="00EF0BA5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ZŠ Petra Bezruče 2000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dle § 27 odst. 7 písm. b) zákona č. 250/2000 Sb., o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souhlasí s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přijetím věcného daru – tabule (rám 120x80) v hodnotě 2.998,98 Kč a startovací balíček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(magnety, fixy) v hodnotě 753,83 Kč v celkové hodnotě daru ve výši 3.753,00 Kč, a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darovací smlouvy od fyzické osoby.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31FD" w:rsidRDefault="004631FD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 – Městské divadlo Žatec</w:t>
      </w:r>
    </w:p>
    <w:p w:rsidR="00D02B19" w:rsidRDefault="00D02B19" w:rsidP="00D204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Žatec, Dvořákova 27, Žatec Mgr. Martina Veselého a dle § 27 odst. 7 písm. b) zákona č. 250/2000 Sb., o rozpočtových pravidlech územních rozpočtů, ve znění pozdějších předpisů, souhlasí s přijetím účelově určeného finančního daru na pořádání akce Dočesná 2019 ve výši 20.000,00 Kč od společnosti Severočeská vodárenská společnost a.s., se sídlem v Teplicích,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Přítkovská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1689, IČ 49099469.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31FD" w:rsidRDefault="004631FD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Regionální muzeum Žatec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Regionálního muzea K. A. Polánka v Žatci,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Husova 678, 438 01 Žatec PhDr. Radmily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Holodňákové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dle § 27 odst. 7 písm. b) zákona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250/2000 Sb., o rozpočtových pravidlech územních rozpočtů, ve znění pozdějších předpisů, souhlasí s přijetím věcného daru - 20 litrů (4x5 litrů) smetany ke šlehání v hodnotě 1.060,00 Kč, a to dle návrhu darovací smlouvy od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Laktos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a.s. IČ 264 60 726 se sídlem Nová cesta 17, 140 00 Praha 4.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631FD" w:rsidRDefault="004631FD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 – Městská knihovna Žatec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Žatec, nám. Svobody 52,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Mgr. Radky Filkové a dle § 27 odst. 7 písm. b) zákona č. 250/2000 Sb., o rozpočtových pravidlech územních rozpočtů, ve znění pozdějších předpisů, souhlasí s přijetím věcného daru – knih od anonymních dárců, autora knihy a uživatelů knihovny, v celkové hodnotě 1.320,00 Kč.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0C5516" w:rsidRDefault="000C5516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Přerušení provozu MŠ Žatec v době letních prázdnin 2019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žádosti ředitelů Mateřských škol v Žatci a dle § 3 odst. 1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vyhlášky č. 14/2005 Sb. o předškolním vzdělávání, ve znění pozdějších předpisů a bere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vědomí přerušení provozu Mateřských škol v Žatci v době letních prázdnin 2019 dle přiloženého soupisu termínů.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0494" w:rsidRDefault="00D02B19" w:rsidP="00D204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Soupis termínů přerušení provozu MŠ Žatec</w:t>
      </w:r>
    </w:p>
    <w:tbl>
      <w:tblPr>
        <w:tblW w:w="8805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2409"/>
        <w:gridCol w:w="2552"/>
      </w:tblGrid>
      <w:tr w:rsidR="00C83D2E" w:rsidRPr="00D3346C" w:rsidTr="00C83D2E">
        <w:trPr>
          <w:trHeight w:val="66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2E" w:rsidRPr="00D3346C" w:rsidRDefault="00C83D2E" w:rsidP="00C83D2E">
            <w:pPr>
              <w:rPr>
                <w:b/>
                <w:bCs/>
              </w:rPr>
            </w:pPr>
            <w:r w:rsidRPr="00D3346C">
              <w:rPr>
                <w:b/>
                <w:bCs/>
              </w:rPr>
              <w:t>Název organizace: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2E" w:rsidRPr="00D3346C" w:rsidRDefault="00C83D2E" w:rsidP="00C83D2E">
            <w:pPr>
              <w:jc w:val="center"/>
              <w:rPr>
                <w:b/>
                <w:bCs/>
              </w:rPr>
            </w:pPr>
            <w:r w:rsidRPr="00D3346C">
              <w:rPr>
                <w:b/>
                <w:bCs/>
              </w:rPr>
              <w:t>Přerušen provoz MŠ: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D2E" w:rsidRPr="00D3346C" w:rsidRDefault="00C83D2E" w:rsidP="00C83D2E">
            <w:pPr>
              <w:jc w:val="center"/>
              <w:rPr>
                <w:b/>
                <w:bCs/>
              </w:rPr>
            </w:pPr>
            <w:r w:rsidRPr="00D3346C">
              <w:rPr>
                <w:b/>
                <w:bCs/>
              </w:rPr>
              <w:t xml:space="preserve">Provoz MŠ: </w:t>
            </w:r>
          </w:p>
        </w:tc>
      </w:tr>
      <w:tr w:rsidR="00C83D2E" w:rsidRPr="00D3346C" w:rsidTr="00C83D2E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r w:rsidRPr="00D3346C">
              <w:t xml:space="preserve">MŠ speciální, Žatec, Studentská 1416, okres Louny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 w:rsidRPr="00D3346C">
              <w:t>15.</w:t>
            </w:r>
            <w:r>
              <w:t>0</w:t>
            </w:r>
            <w:r w:rsidRPr="00D3346C">
              <w:t>7.</w:t>
            </w:r>
            <w:r>
              <w:t xml:space="preserve"> </w:t>
            </w:r>
            <w:r w:rsidRPr="00D3346C">
              <w:t xml:space="preserve">- </w:t>
            </w:r>
            <w:proofErr w:type="gramStart"/>
            <w:r w:rsidRPr="00D3346C">
              <w:t>31.</w:t>
            </w:r>
            <w:r>
              <w:t>0</w:t>
            </w:r>
            <w:r w:rsidRPr="00D3346C">
              <w:t>7.2019</w:t>
            </w:r>
            <w:proofErr w:type="gramEnd"/>
            <w:r w:rsidRPr="00D3346C">
              <w:t xml:space="preserve">, </w:t>
            </w: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8. - </w:t>
            </w:r>
            <w:proofErr w:type="gramStart"/>
            <w:r w:rsidRPr="00D3346C">
              <w:t>23.</w:t>
            </w:r>
            <w:r>
              <w:t>0</w:t>
            </w:r>
            <w:r w:rsidRPr="00D3346C">
              <w:t>8.2019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7. - </w:t>
            </w:r>
            <w:proofErr w:type="gramStart"/>
            <w:r w:rsidRPr="00D3346C">
              <w:t>12.</w:t>
            </w:r>
            <w:r>
              <w:t>0</w:t>
            </w:r>
            <w:r w:rsidRPr="00D3346C">
              <w:t>7.2019</w:t>
            </w:r>
            <w:proofErr w:type="gramEnd"/>
            <w:r w:rsidRPr="00D3346C">
              <w:t>,</w:t>
            </w:r>
          </w:p>
          <w:p w:rsidR="00C83D2E" w:rsidRPr="00D3346C" w:rsidRDefault="00C83D2E" w:rsidP="00C83D2E">
            <w:pPr>
              <w:jc w:val="center"/>
            </w:pPr>
            <w:r w:rsidRPr="00D3346C">
              <w:t>26.</w:t>
            </w:r>
            <w:r>
              <w:t>0</w:t>
            </w:r>
            <w:r w:rsidRPr="00D3346C">
              <w:t xml:space="preserve">8. </w:t>
            </w:r>
            <w:r>
              <w:t>-</w:t>
            </w:r>
            <w:r w:rsidRPr="00D3346C">
              <w:t xml:space="preserve"> </w:t>
            </w:r>
            <w:proofErr w:type="gramStart"/>
            <w:r w:rsidRPr="00D3346C">
              <w:t>30.</w:t>
            </w:r>
            <w:r>
              <w:t>0</w:t>
            </w:r>
            <w:r w:rsidRPr="00D3346C">
              <w:t>8.2019</w:t>
            </w:r>
            <w:proofErr w:type="gramEnd"/>
          </w:p>
        </w:tc>
      </w:tr>
      <w:tr w:rsidR="00C83D2E" w:rsidRPr="00D3346C" w:rsidTr="00C83D2E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r w:rsidRPr="00D3346C">
              <w:t>MŠ Žatec, Studentská 1230, okres Louny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7. - </w:t>
            </w:r>
            <w:proofErr w:type="gramStart"/>
            <w:r w:rsidRPr="00D3346C">
              <w:t>31.</w:t>
            </w:r>
            <w:r>
              <w:t>0</w:t>
            </w:r>
            <w:r w:rsidRPr="00D3346C">
              <w:t>7.2019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8. - </w:t>
            </w:r>
            <w:proofErr w:type="gramStart"/>
            <w:r w:rsidRPr="00D3346C">
              <w:t>30.</w:t>
            </w:r>
            <w:r>
              <w:t>0</w:t>
            </w:r>
            <w:r w:rsidRPr="00D3346C">
              <w:t>8.2019</w:t>
            </w:r>
            <w:proofErr w:type="gramEnd"/>
          </w:p>
        </w:tc>
      </w:tr>
      <w:tr w:rsidR="00C83D2E" w:rsidRPr="00D3346C" w:rsidTr="00C83D2E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r w:rsidRPr="00D3346C">
              <w:t>MŠ Žatec, Fügnerova 2051, okres Louny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7. - </w:t>
            </w:r>
            <w:proofErr w:type="gramStart"/>
            <w:r w:rsidRPr="00D3346C">
              <w:t>31.</w:t>
            </w:r>
            <w:r>
              <w:t>0</w:t>
            </w:r>
            <w:r w:rsidRPr="00D3346C">
              <w:t>7.2019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8. - </w:t>
            </w:r>
            <w:proofErr w:type="gramStart"/>
            <w:r w:rsidRPr="00D3346C">
              <w:t>30.</w:t>
            </w:r>
            <w:r>
              <w:t>0</w:t>
            </w:r>
            <w:r w:rsidRPr="00D3346C">
              <w:t>8.2019</w:t>
            </w:r>
            <w:proofErr w:type="gramEnd"/>
          </w:p>
        </w:tc>
      </w:tr>
      <w:tr w:rsidR="00C83D2E" w:rsidRPr="00D3346C" w:rsidTr="00C83D2E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r w:rsidRPr="00D3346C">
              <w:t>MŠ Žatec, U Jezu 2903, okres Louny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7. - </w:t>
            </w:r>
            <w:proofErr w:type="gramStart"/>
            <w:r w:rsidRPr="00D3346C">
              <w:t>31.</w:t>
            </w:r>
            <w:r>
              <w:t>0</w:t>
            </w:r>
            <w:r w:rsidRPr="00D3346C">
              <w:t>7.2019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8. - </w:t>
            </w:r>
            <w:proofErr w:type="gramStart"/>
            <w:r w:rsidRPr="00D3346C">
              <w:t>30.</w:t>
            </w:r>
            <w:r>
              <w:t>0</w:t>
            </w:r>
            <w:r w:rsidRPr="00D3346C">
              <w:t>8.2019</w:t>
            </w:r>
            <w:proofErr w:type="gramEnd"/>
          </w:p>
        </w:tc>
      </w:tr>
      <w:tr w:rsidR="00C83D2E" w:rsidRPr="00D3346C" w:rsidTr="00C83D2E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r w:rsidRPr="00D3346C">
              <w:t>MŠ Žatec, Otakara Březiny 2769, okres Louny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8. - </w:t>
            </w:r>
            <w:proofErr w:type="gramStart"/>
            <w:r w:rsidRPr="00D3346C">
              <w:t>30.</w:t>
            </w:r>
            <w:r>
              <w:t>0</w:t>
            </w:r>
            <w:r w:rsidRPr="00D3346C">
              <w:t>8.2019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7. - </w:t>
            </w:r>
            <w:proofErr w:type="gramStart"/>
            <w:r w:rsidRPr="00D3346C">
              <w:t>31.</w:t>
            </w:r>
            <w:r>
              <w:t>0</w:t>
            </w:r>
            <w:r w:rsidRPr="00D3346C">
              <w:t>7.2019</w:t>
            </w:r>
            <w:proofErr w:type="gramEnd"/>
          </w:p>
        </w:tc>
      </w:tr>
      <w:tr w:rsidR="00C83D2E" w:rsidRPr="00D3346C" w:rsidTr="00C83D2E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r w:rsidRPr="00D3346C">
              <w:t>MŠ Žatec, Bratří Čapků 2775, okres Louny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8. - </w:t>
            </w:r>
            <w:proofErr w:type="gramStart"/>
            <w:r w:rsidRPr="00D3346C">
              <w:t>30.</w:t>
            </w:r>
            <w:r>
              <w:t>0</w:t>
            </w:r>
            <w:r w:rsidRPr="00D3346C">
              <w:t>8.2019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7. - </w:t>
            </w:r>
            <w:proofErr w:type="gramStart"/>
            <w:r w:rsidRPr="00D3346C">
              <w:t>31.</w:t>
            </w:r>
            <w:r>
              <w:t>0</w:t>
            </w:r>
            <w:r w:rsidRPr="00D3346C">
              <w:t>7.2019</w:t>
            </w:r>
            <w:proofErr w:type="gramEnd"/>
          </w:p>
        </w:tc>
      </w:tr>
      <w:tr w:rsidR="00C83D2E" w:rsidRPr="00D3346C" w:rsidTr="00C83D2E">
        <w:trPr>
          <w:trHeight w:val="33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r w:rsidRPr="00D3346C">
              <w:t>ZŠ a MŠ, Žatec, Dvořákova 24, okres Louny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7. - </w:t>
            </w:r>
            <w:proofErr w:type="gramStart"/>
            <w:r w:rsidRPr="00D3346C">
              <w:t>31.</w:t>
            </w:r>
            <w:r>
              <w:t>0</w:t>
            </w:r>
            <w:r w:rsidRPr="00D3346C">
              <w:t>7.2019</w:t>
            </w:r>
            <w:proofErr w:type="gramEnd"/>
            <w:r w:rsidRPr="00D3346C">
              <w:t xml:space="preserve">, </w:t>
            </w:r>
            <w:r>
              <w:t>0</w:t>
            </w:r>
            <w:r w:rsidRPr="00D3346C">
              <w:t>1.</w:t>
            </w:r>
            <w:r>
              <w:t>0</w:t>
            </w:r>
            <w:r w:rsidRPr="00D3346C">
              <w:t xml:space="preserve">8. - </w:t>
            </w:r>
            <w:proofErr w:type="gramStart"/>
            <w:r w:rsidRPr="00D3346C">
              <w:t>30.</w:t>
            </w:r>
            <w:r>
              <w:t>0</w:t>
            </w:r>
            <w:r w:rsidRPr="00D3346C">
              <w:t>8.2019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D2E" w:rsidRPr="00D3346C" w:rsidRDefault="00C83D2E" w:rsidP="00C83D2E">
            <w:pPr>
              <w:jc w:val="center"/>
            </w:pPr>
            <w:r w:rsidRPr="00D3346C">
              <w:t>--------------</w:t>
            </w:r>
          </w:p>
        </w:tc>
      </w:tr>
    </w:tbl>
    <w:p w:rsidR="00D20494" w:rsidRDefault="00D20494" w:rsidP="00D204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D20494" w:rsidP="00D204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5.4.2019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A599F" w:rsidRDefault="004A599F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02EE" w:rsidRDefault="00EF02EE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 MŠ</w:t>
      </w:r>
    </w:p>
    <w:p w:rsidR="00D02B19" w:rsidRDefault="00D02B19" w:rsidP="00C83D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návrh ředitelů Mateřských škol v Žatci a dle § 34 odst. 2 zákona č. 561/2004 Sb., o předškolním, základním, středním, vyšším odborném a jiném vzdělávání (školský zákon), ve znění pozdějších předpisů, souhlasí s termínem pro zápis do mateřských škol v termínu od 14. května 2019 do 15. května 2019 v době od 8:00 do 13:00 hod.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</w:p>
    <w:p w:rsidR="00C83D2E" w:rsidRDefault="00D02B19" w:rsidP="00C83D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3D2E" w:rsidRDefault="00C83D2E" w:rsidP="00C83D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C83D2E" w:rsidP="00C83D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25.3.2019</w:t>
      </w:r>
      <w:proofErr w:type="gramEnd"/>
    </w:p>
    <w:p w:rsidR="00D02B19" w:rsidRDefault="00D02B19" w:rsidP="00C83D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EF02EE" w:rsidRDefault="00EF02EE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 DPS</w:t>
      </w:r>
    </w:p>
    <w:p w:rsidR="00D02B19" w:rsidRDefault="00D02B19" w:rsidP="002348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0C5516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806 v DPS Písečná 2820) na dobu určitou tří let s tím, že v souladu s platnými Pravidly pro přidělování bytů v DPS žadatelka uhradí jednorázový příspěvek na sociální účely ve výši 25.000,00 Kč.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206 v DPS Písečná 2820) na určitou tří let s tím, že v souladu s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platnými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Pravidly pro přidělování bytů v DPS žadatelka uhradí jednorázový příspěvek na sociální účely ve výši 25.000,00 Kč.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405 v DPS Písečná 2820) na dobu určitou tří let s tím, že v souladu s platnými Pravidly pro přidělování bytů v DPS žadatelka uhradí jednorázový příspěvek na sociální účely ve výši 25.000,00 Kč.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projednala a souhlasí s uzavřením nájemní smlouvy s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101 v DPS Písečná 2820) na dobu určitou tří let s tím, že v souladu s platnými Pravidly pro přidělování bytů v DPS žadatelka uhradí jednorázový příspěvek na sociální účely ve výši 25.000,00 Kč. Rada města Žatce bere na vědomí, že jednorázový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příspěvek na sociální účely ve výši 25.000,00 Kč bude hrazen po měsíčních splátkách.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309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22.02.2022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802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02.03.2022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5 v DPS U Hřiště 2512)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21.03.2022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1 v DPS U Hřiště 2513)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27.03.2022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31 v DPS U Hřiště 2512)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31.03.2022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906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31.03.2022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21 v DPS U Hřiště 2513)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03.04.2022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34888" w:rsidRDefault="00D02B19" w:rsidP="002348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234888">
        <w:rPr>
          <w:rFonts w:ascii="Times New Roman" w:hAnsi="Times New Roman" w:cs="Times New Roman"/>
          <w:color w:val="000000"/>
          <w:sz w:val="24"/>
          <w:szCs w:val="24"/>
        </w:rPr>
        <w:t> fyzickou osobou.</w:t>
      </w:r>
    </w:p>
    <w:p w:rsidR="00234888" w:rsidRDefault="00234888" w:rsidP="002348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234888" w:rsidP="002348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15.4.2019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EF02EE" w:rsidRDefault="00EF02EE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A599F" w:rsidRDefault="004A599F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správců objektů za spravované byty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mandátní smlouvou uzavřenou se spol. SERVO s.r.o., IČ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61536717 schvaluje s ohledem na průměrnou roční míru inflace roku 2018 úpravu odměny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správu bytů na částku 99,00 Kč měsíčně za jeden spravovaný byt v Žatci,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v souladu s mandátní smlouvou uzavřenou s p. Vladimírem Martinovským, IČ 10438891, Realitní kancelář MPR, schvaluje s ohledem na průměrnou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roční míru inflace roku 2018 úpravu odměny za správu bytů na částku 97,00 Kč měsíčně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jeden spravovaný byt v Žatci a na částku 107,00 Kč měsíčně za jeden spravovaný byt v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 účinností od března 2019.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části pozemku p. p. č. 720/2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02B19" w:rsidRDefault="00D02B19" w:rsidP="00C83D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p. p. č. 720/2 o výměře cca 600 m2, ostatní plocha, neplodná půda,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spol. Y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N – spol. s r. o., IČ 44566565, se sídlem Dolní Litvínov 5, 436 01 Litvínov, za účelem dočasného uskladnění zeminy z výkopových prací,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31.10.2019 za měsíční nájemné 9.000,00 Kč s podmínkou uhrazení vratné peněžité jistoty ve výši 20.000,00 Kč.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nemovitostí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natáčení filmového díla s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názvem „UWJ“</w:t>
      </w:r>
    </w:p>
    <w:p w:rsidR="00D02B19" w:rsidRDefault="00D02B19" w:rsidP="004B66E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zastavěná plocha a nádvoří st. p. č. 1190/1, jehož součástí je budova č. p. 2880, průmyslový objekt a části pozemku ostatní plocha p. p. č. 762/14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MIA FILM s.r.o., se sídlem Praha 2 Vinohrady, Korunní 1030/32, PSČ 120 00, IČ 29046106, za účelem přípravných prací a natáčení filmového díla s názvem „UWJ“ ve dnech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12.04.2019, od 15.04.2019 do 19.04.2019, od 22.04.2019 do 26.04.2019 a od 29.04.2019 do 10.05.2019 za nájemné ve výši 310.000,00 Kč + 21 % DPH.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Revokace usnesení – Nájem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natáčení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scén televizního filmu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č. 168/19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současně na základě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žádosti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Rolling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s.r.o., se sídlem Paprsková 260/18, 140 00 Praha 4, IČ: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257 19 971 zastoupené jednatelem </w:t>
      </w:r>
      <w:r w:rsidR="004B66E8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chvaluje nájem p. p. č. 6772 a p. p. č. 7179 ostatní plocha – ul. Dvořákova, p. p. č. 6771 ostatní plocha – ul. Oblouková, p. p. č. 6769 – Chelčického nám., p. p. č. 6765/1 – ul. Dlouhá, p. p. č. 6770/1 – ul. Nádražní schody, p. p. č. 6766 – Jiráskova ul., p. p. č. 6832/1, p. p. č. 6832/2 – Husitské náměstí včetně přilehlého Železného mostu, p. p. č. 6762/1 – Žižkovo nám, p. p. č. 6763 – ul. Josefa Hory, p. p. č. 6761/1 ostatní plocha – </w:t>
      </w:r>
      <w:r w:rsidR="004B66E8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ošťálkovo nám., p. p. č. 7174 ostatní plocha – ul. Poděbradova – parkoviště,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exteriérových scén televizního filmu s názvem „Emanuel Moravec – Anatomie zrady“ ve dnech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22.05.2019 za nájemné ve výši 100.000,00 Kč a dále schvaluje text nájemní smlouvy. Současně schvaluje výjimku z Pravidel Rady města Žatce na pronájem exteriérů Žatce a podmínek pro natáčení filmových a televizních děl, seriálů a reklamních spotů v souladu čl. II. a odstavcem 6.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pronajmout část pozemku p. p. č. 6775/3 a část p. p. č. 6777/3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02B19" w:rsidRDefault="00D02B19" w:rsidP="00C83D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místního hospodářství a majetku zveřejnit po dobu 15 dnů záměr města pronajmout ze svého majetku část pozemku p. p. č. 6775/3 ostatní plocha o výměře 1 m2 za účelem vybudování a umístění stojanu dobíjecí stanice pro elektromobily a část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p. p. č. 6777/3 ostatní plocha o výměře 25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2 vyhrazených </w:t>
      </w:r>
      <w:r w:rsidR="00C83D2E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arkovacích míst pro dobu dobíjení elektromobilu.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04637A" w:rsidP="000C551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04637A" w:rsidP="000C551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04637A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04637A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společnosti Žatecká teplárenská, a.s. – Stanovení ceny tepla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2019 a investiční plán na rok 2019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bere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vědomí informaci o Stanovení ceny tepla na rok 2019, která byla odsouhlasena na jednání představenstva společnosti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bere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vědomí informaci o Investičním plánu na rok 2019, který byl odsouhlasen na jednání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představenstva společnosti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B66E8" w:rsidRDefault="004B66E8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STL RS Žatec – Nové podměstí, číslo stavby 7700101912"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STL RS Žatec – Nové podměstí, číslo stavby 7700101912“ na pozemcích města: p. p. č. 6678/2 a p. p. č. 6681/14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nízkotlaký plynovod, právo ochranného pásma a právo oprávněné strany vyplývající ze zákona č. 458/2000 Sb., energetický zákon, ve znění pozdějších předpisů.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STL RS Žatec – Nové podměstí, číslo stavby 7700101912“</w:t>
      </w:r>
    </w:p>
    <w:p w:rsidR="00D02B19" w:rsidRDefault="00D02B19" w:rsidP="00C83D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STL RS Žatec – Nové podměstí, číslo stavby 7700101912“ na pozemcích města: p. p. č. 6678/2 a p. p. č. 6681/14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středotlaký plynovod, právo ochranného pásma a právo oprávněné strany vyplývající ze zákona č. 458/2000 Sb., energetický zákon, ve znění pozdějších předpisů.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STL RS Žatec – Nové podměstí, číslo stavby 7700101912“</w:t>
      </w:r>
    </w:p>
    <w:p w:rsidR="00C83D2E" w:rsidRDefault="00D02B19" w:rsidP="00C83D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STL RS Žatec – Nové podměstí, číslo stavby 7700101912“ na pozemcích města: p. p. č. 6678/2 a p. p. č. 6681/14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regulační stanice, právo ochranného pásma a právo oprávněné strany vyplývající ze zákona č. 458/2000 Sb., energetický zákon, ve znění pozdějších předpisů.</w:t>
      </w:r>
    </w:p>
    <w:p w:rsidR="00C83D2E" w:rsidRDefault="00C83D2E" w:rsidP="00C83D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C83D2E" w:rsidP="00C83D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31.3.2019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2EE" w:rsidRDefault="00EF02EE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02EE" w:rsidRDefault="00EF02EE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ROI, SP LN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1629-SP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LN_1630“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„LN-Žatec, ROI, SP LN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1629-SP LN_1630“ na pozemku města: p. p. č. 6993/5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uložení kabelu NN, právo ochranného pásma a právo oprávněné strany vyplývající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458/2000 Sb., energetický zákon, ve znění pozdějších předpisů.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2EE" w:rsidRDefault="00EF02EE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„Kanalizační přípojka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1918/5,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Žatec“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4B66E8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„Kanalizační přípojka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1918/5,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 na pozemku města p. p. č. 6873/2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kanalizační přípojka, právo ochranného pásma a právo oprávněné strany vyplývající ze zákona č. 274/2001 Sb., zákon o vodovodech a kanalizacích, ve znění pozdějších předpisů.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2EE" w:rsidRDefault="00EF02EE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4631FD" w:rsidRDefault="004631FD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vodovodní přípojka a přípojka splaškové kanalizace"</w:t>
      </w:r>
    </w:p>
    <w:p w:rsidR="00D02B19" w:rsidRDefault="00D02B19" w:rsidP="00C83D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B426C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vodovodní přípojka a přípojka splaškové kanalizace k parcele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4601/7“ na pozemku města p. p. č. 4614/1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vodovodní přípojka a přípojka splaškové kanalizace, právo ochranného pásma a právo oprávněné strany vyplývající ze zákona č. 274/2001 Sb., zákon o vodovodech a kanalizacích, ve znění pozdějších předpisů.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Čeradická, 6308-4,1xOM“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„LN-Žatec, Čeradická,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6308-4,1xOM“ na pozemcích města: p. p. č. 6308/1, p. p. č. 6320/3, p. p. č. 6320/2, p. p.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6320/1, p. p. č. 6289/2 a p. p. č. 6290/11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uložení kabelu NN, právo ochranného pásma a právo oprávněné strany vyplývající ze zákona č. 458/2000 Sb., energetický zákon, ve znění pozdějších předpisů.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směnit pozemek p. p. č. 5655/18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</w:t>
      </w:r>
    </w:p>
    <w:p w:rsidR="00C83D2E" w:rsidRDefault="00D02B19" w:rsidP="00C83D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 dobu 15 dnů záměr města směnit pozemek p. p. č. 5655/18 o výměře 90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část pozemku p. p. č. 5655/3, dle GP č. 6605-5674/2018 nově oddělený pozemek p. p. č. 5655/97 o výměře 90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osobním vlastnictví soukromé osoby.</w:t>
      </w:r>
    </w:p>
    <w:p w:rsidR="00C83D2E" w:rsidRDefault="00C83D2E" w:rsidP="00C83D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C83D2E" w:rsidP="00C83D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31.3.2019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pozemky p. p. č. 4587/12 a p. p. č. 6961/4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dobu 15 dnů záměr města prodat pozemky: ostatní plocha p. p. č. 6961/4 o výměře 14 m2 a zahrada p. p. č. 4587/12 o výměře 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kupní cenu 11.000,00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část pozemku p. p. č. 7016/2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dobu 15 dnů záměr města prodat část pozemku ostatní plocha p. p. č. 7016/2, dle GP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6567-54/2019 nově označená ostatní plocha p. p. č. 7016/5 o výměře 42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kupní cenu 21.000,00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631FD" w:rsidRDefault="004631FD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426CD" w:rsidRDefault="00B426CD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část pozemku ostatní plocha p. p. č. 405/1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Velichov u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Žatce</w:t>
      </w:r>
    </w:p>
    <w:p w:rsidR="00D02B19" w:rsidRDefault="00D02B19" w:rsidP="00C83D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po geodetickém oddělení části pozemku ostatní plocha p. p. č. 405/1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 zveřejnit po dobu 15 dnů záměr města prodat část pozemku ostatní plocha p. p. č. 405/1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 cca 15 m2 za kupní cenu 250,00 Kč/m2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část pozemku p. p. č. 6777/5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dobu 15 dnů záměr města prodat část pozemku ostatní plocha p. p. č. 6777/5, dle GP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6351-067/2016 nově označená ostatní plocha p. p. č. 6777/5 díl b o výměře 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za kupní cenu 10.500,00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část pozemku ostatní plocha p. p. č. 744/1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</w:t>
      </w:r>
    </w:p>
    <w:p w:rsidR="00EF0BA5" w:rsidRDefault="00D02B19" w:rsidP="00EF0BA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po geodetickém oddělení části pozemku ostatní plocha p. p. č. 744/1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zveřejnit po dobu 15 dnů záměr města prodat část pozemku ostatní plocha p. p. č. 744/1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o výměře cca 20 m2 za kupní cenu 250,00 Kč/m2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D02B19" w:rsidRDefault="00EF0BA5" w:rsidP="00EF0BA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30.4.2019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825"/>
        <w:gridCol w:w="1396"/>
        <w:gridCol w:w="973"/>
        <w:gridCol w:w="964"/>
        <w:gridCol w:w="969"/>
        <w:gridCol w:w="1275"/>
        <w:gridCol w:w="937"/>
        <w:gridCol w:w="912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EF0BA5" w:rsidRDefault="00D02B19" w:rsidP="00EF0B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BA5" w:rsidRDefault="00EF0BA5" w:rsidP="00EF0B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EF0BA5" w:rsidP="00EF0B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25.3.2019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800"/>
        <w:gridCol w:w="1373"/>
        <w:gridCol w:w="910"/>
        <w:gridCol w:w="930"/>
        <w:gridCol w:w="1275"/>
        <w:gridCol w:w="1275"/>
        <w:gridCol w:w="883"/>
        <w:gridCol w:w="883"/>
      </w:tblGrid>
      <w:tr w:rsidR="009A13CF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A13CF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9A13CF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9A13CF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opatření: „Revitalizace městských hradeb v Žatci“</w:t>
      </w:r>
    </w:p>
    <w:p w:rsidR="00D02B19" w:rsidRDefault="00D02B19" w:rsidP="00C83D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500.000,00 Kč na uvolnění finančních prostředků z investičního fondu na financování akce „Revitalizace městských hradeb v Žatci“ na zpracování projektové dokumentace a příprava stavby:</w:t>
      </w:r>
    </w:p>
    <w:p w:rsidR="00EF02EE" w:rsidRDefault="00EF02EE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741-6171-6901         - 500.000,00 Kč (IF)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5171        + 500.000,00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(Revitalizace městských hradeb v Žatci).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800"/>
        <w:gridCol w:w="1373"/>
        <w:gridCol w:w="910"/>
        <w:gridCol w:w="930"/>
        <w:gridCol w:w="1275"/>
        <w:gridCol w:w="1275"/>
        <w:gridCol w:w="883"/>
        <w:gridCol w:w="883"/>
      </w:tblGrid>
      <w:tr w:rsidR="009A13CF" w:rsidTr="004631FD">
        <w:tc>
          <w:tcPr>
            <w:tcW w:w="107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3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91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A13CF" w:rsidTr="004631FD">
        <w:tc>
          <w:tcPr>
            <w:tcW w:w="107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00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91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7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27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9A13CF" w:rsidTr="004631FD">
        <w:tc>
          <w:tcPr>
            <w:tcW w:w="107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0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9A13CF" w:rsidTr="004631FD">
        <w:tc>
          <w:tcPr>
            <w:tcW w:w="107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0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na projektovou dokumentaci „Rekonstrukce výtahu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porodnice“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195.000,00 Kč, a to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financování zpracování projektové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 na akci „Rekonstrukce výtahu – porodnice“.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- 195.000,00 Kč (IF)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756    + 195.000,00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- Rekonstrukce výtahu – porodnice).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F02EE" w:rsidRDefault="00EF02EE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800"/>
        <w:gridCol w:w="1373"/>
        <w:gridCol w:w="910"/>
        <w:gridCol w:w="930"/>
        <w:gridCol w:w="1275"/>
        <w:gridCol w:w="1275"/>
        <w:gridCol w:w="883"/>
        <w:gridCol w:w="883"/>
      </w:tblGrid>
      <w:tr w:rsidR="009A13CF" w:rsidTr="00EF02EE">
        <w:tc>
          <w:tcPr>
            <w:tcW w:w="107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3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91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A13CF" w:rsidTr="00EF02EE">
        <w:tc>
          <w:tcPr>
            <w:tcW w:w="107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00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91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7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27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9A13CF" w:rsidTr="00EF02EE">
        <w:tc>
          <w:tcPr>
            <w:tcW w:w="107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0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9A13CF" w:rsidTr="00EF02EE">
        <w:tc>
          <w:tcPr>
            <w:tcW w:w="107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0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právu obdobnému věcnému břemeni – služebnosti při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zřizování dočasného připojení k silnici I. třídy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Smlouvy o právu obdobnému věcnému </w:t>
      </w:r>
    </w:p>
    <w:p w:rsidR="00EF0BA5" w:rsidRDefault="00D02B19" w:rsidP="00EF0B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břemeni – služebnosti při zřizování dočasného připojení k silnici I. třídy č. 12719601 a ukládá starostce města tuto smlouvu podepsat.</w:t>
      </w:r>
    </w:p>
    <w:p w:rsidR="00EF0BA5" w:rsidRDefault="00EF0BA5" w:rsidP="00EF0B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EF0BA5" w:rsidP="00EF0B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8.4.2019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31FD" w:rsidRDefault="004631FD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EF0BA5" w:rsidTr="00EF02EE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39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97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38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EF02EE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2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9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97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6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7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8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1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EF02EE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9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EF02EE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9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„MŠ Žatec, U Jezu 2903, budova 2224 –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elektroinstalace a výměna svítidel“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opakovaného výběrového řízení a výzvu k podání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nabídek na veřejnou zakázku malého rozsahu na stavební práce, zadané v souladu se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Zásadami a postupy pro zadávání zakázek města Žatce na zhotovitele stavby „MŠ Žatec,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Jezu 2903, budova 2224 – rekonstrukce elektroinstalace a výměna svítidel“.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 a členy a náhradníky hodnotící komise.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„Oprava uliční fasády objektů čp. 24 a 25 ZŠ a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 Dvořákova, Žatec“</w:t>
      </w:r>
    </w:p>
    <w:p w:rsidR="00D02B19" w:rsidRDefault="00D02B19" w:rsidP="00C83D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 a výzvu k podání nabídek na veřejnou zakázku malého rozsahu na stavební práce, zadané v souladu se Zásadami a postupy pro zadávání zakázek města Žatce na zhotovitele stavby „Oprava uliční fasády objektů čp. 24 a 25 ZŠ a MŠ Dvořákova, Žatec“.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 a členy a náhradníky hodnotící komise.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426CD" w:rsidRDefault="00B426CD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5"/>
        <w:gridCol w:w="973"/>
        <w:gridCol w:w="1275"/>
        <w:gridCol w:w="969"/>
        <w:gridCol w:w="966"/>
        <w:gridCol w:w="937"/>
        <w:gridCol w:w="912"/>
      </w:tblGrid>
      <w:tr w:rsidR="00EF0BA5" w:rsidTr="004A599F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39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9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3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4A599F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2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9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9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7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1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4A599F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4A599F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„MŠS Žatec, Studentská 1416 – rekonstrukce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elektroinstalace a výměna svítidel“</w:t>
      </w:r>
    </w:p>
    <w:p w:rsidR="00D02B19" w:rsidRDefault="00D02B19" w:rsidP="00C83D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 a výzvu k podání nabídek na veřejnou zakázku malého rozsahu na stavební práce, zadané v souladu se Zásadami a postupy pro zadávání zakázek města Žatce na zhotovitele stavby „MŠS Žatec, Studentská 1416 – rekonstrukce elektroinstalace a výměna svítidel“.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 a členy a náhradníky hodnotící komise.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13.5.2019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5"/>
        <w:gridCol w:w="973"/>
        <w:gridCol w:w="1275"/>
        <w:gridCol w:w="969"/>
        <w:gridCol w:w="966"/>
        <w:gridCol w:w="937"/>
        <w:gridCol w:w="912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„Úprava povrchů stávajících stání v MPR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- ulice Poděbradova a Dlouhá“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zjednodušené podlimitní řízení na stavební práce, zadané v souladu se zněním zákona č.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134/2016 Sb., o zadávání veřejných zakázek na zhotovitele stavby „Úprava povrchů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stávajících stání v MPR Žatec - ulice Poděbradova a Dlouhá“.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EF02EE" w:rsidRDefault="00EF02EE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A599F" w:rsidRDefault="004A599F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5"/>
        <w:gridCol w:w="973"/>
        <w:gridCol w:w="1275"/>
        <w:gridCol w:w="969"/>
        <w:gridCol w:w="966"/>
        <w:gridCol w:w="937"/>
        <w:gridCol w:w="912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„Oprava komunikací v ul. 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Ungara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Žatec“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zjednodušené podlimitní řízení na stavební práce, zadané v souladu se zněním zákona č.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134/2016 Sb., o zadávání veřejných zakázek na zhotovitele stavby „Oprava komunikací v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Žatec“.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631FD" w:rsidRDefault="004631FD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5"/>
        <w:gridCol w:w="973"/>
        <w:gridCol w:w="1275"/>
        <w:gridCol w:w="969"/>
        <w:gridCol w:w="966"/>
        <w:gridCol w:w="937"/>
        <w:gridCol w:w="912"/>
      </w:tblGrid>
      <w:tr w:rsidR="00EF0BA5" w:rsidTr="004631FD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39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9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3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4631FD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2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9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9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7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1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4631FD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4631FD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„Oprava komunikací v ul. Kadaňská a ul.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Starý vrch“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veřejnou zakázku malého rozsahu na stavební práce na zhotovitele stavby „Oprava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komunikací v ul. Kadaňská a ul. Starý vrch“.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A599F" w:rsidRDefault="004A599F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5"/>
        <w:gridCol w:w="973"/>
        <w:gridCol w:w="1275"/>
        <w:gridCol w:w="969"/>
        <w:gridCol w:w="966"/>
        <w:gridCol w:w="937"/>
        <w:gridCol w:w="912"/>
      </w:tblGrid>
      <w:tr w:rsidR="00EF0BA5" w:rsidTr="00EF02EE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39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9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3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EF02EE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2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9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9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7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1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EF02EE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EF02EE">
        <w:tc>
          <w:tcPr>
            <w:tcW w:w="1156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9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dodávce softwarových produktů a poskytování servisních </w:t>
      </w:r>
    </w:p>
    <w:p w:rsidR="00D02B19" w:rsidRDefault="00D02B19" w:rsidP="00D02B1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služeb č. 00265781/000/2018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dodávce softwarových produktů a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poskytování servisních služeb č. 00265781/000/2018 se společností INISOFT s.r.o., IČ: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25417657 v rámci akce „Sběrný dvůr odpadů města Žatec“.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 celkové výši 32.000,00 Kč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uvolnění finančních prostředků z investičního fondu v tomto znění: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</w:t>
      </w:r>
      <w:r w:rsidR="00A96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- 32.000,00 Kč (IF)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5205      + 18.000,00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(Sběrný dvůr v Žatci - rozšíření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programu)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739-3722-5168,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5205      + 14.000,00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(Sběrný dvůr v Žatci - proškolení).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5.4.2019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A9615B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A9615B" w:rsidRPr="00A9615B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EF0BA5" w:rsidRDefault="00EF0BA5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5"/>
        <w:gridCol w:w="973"/>
        <w:gridCol w:w="1275"/>
        <w:gridCol w:w="969"/>
        <w:gridCol w:w="966"/>
        <w:gridCol w:w="937"/>
        <w:gridCol w:w="912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224/19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SeniorTaxi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výsledek výběrového řízení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výsledek výběrového řízení a ukládá starostce města podepsat</w:t>
      </w:r>
    </w:p>
    <w:p w:rsidR="00A9615B" w:rsidRDefault="00D02B19" w:rsidP="00A96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provozování služby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SeniorTaxi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Vladimírem Mrázkem, IČ: 74960719.</w:t>
      </w:r>
    </w:p>
    <w:p w:rsidR="00A9615B" w:rsidRDefault="00A9615B" w:rsidP="00A96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B19" w:rsidRDefault="00A9615B" w:rsidP="00A96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26.3.2019</w:t>
      </w:r>
      <w:proofErr w:type="gramEnd"/>
    </w:p>
    <w:p w:rsidR="00D02B19" w:rsidRDefault="00D02B19" w:rsidP="00D02B1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4631FD" w:rsidRDefault="004631FD" w:rsidP="00EF0BA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796"/>
        <w:gridCol w:w="1369"/>
        <w:gridCol w:w="900"/>
        <w:gridCol w:w="1275"/>
        <w:gridCol w:w="936"/>
        <w:gridCol w:w="913"/>
        <w:gridCol w:w="875"/>
        <w:gridCol w:w="1275"/>
      </w:tblGrid>
      <w:tr w:rsidR="00EF0BA5" w:rsidTr="004A599F">
        <w:tc>
          <w:tcPr>
            <w:tcW w:w="106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79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3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90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91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8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4A599F">
        <w:tc>
          <w:tcPr>
            <w:tcW w:w="1069" w:type="dxa"/>
            <w:shd w:val="clear" w:color="auto" w:fill="auto"/>
          </w:tcPr>
          <w:p w:rsidR="00EF0BA5" w:rsidRDefault="00EF02EE" w:rsidP="000C5516">
            <w:pPr>
              <w:spacing w:line="360" w:lineRule="auto"/>
            </w:pPr>
            <w:r>
              <w:t xml:space="preserve"> </w:t>
            </w:r>
            <w:r w:rsidR="00EF0BA5">
              <w:t>pro</w:t>
            </w:r>
          </w:p>
        </w:tc>
        <w:tc>
          <w:tcPr>
            <w:tcW w:w="796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90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7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1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8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7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EF0BA5" w:rsidTr="004A599F">
        <w:tc>
          <w:tcPr>
            <w:tcW w:w="106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79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4A599F">
        <w:tc>
          <w:tcPr>
            <w:tcW w:w="106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79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Soutěž o logo města Žatce</w:t>
      </w:r>
    </w:p>
    <w:p w:rsidR="00EF0BA5" w:rsidRDefault="00D02B19" w:rsidP="00EF0BA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vyhlášení soutěže o logo města Žatce.</w:t>
      </w:r>
    </w:p>
    <w:p w:rsidR="00D02B19" w:rsidRDefault="00EF0BA5" w:rsidP="00EF0BA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02B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D02B19">
        <w:rPr>
          <w:rFonts w:ascii="Times New Roman" w:hAnsi="Times New Roman" w:cs="Times New Roman"/>
          <w:color w:val="000000"/>
          <w:sz w:val="20"/>
          <w:szCs w:val="20"/>
        </w:rPr>
        <w:t>1.4.2019</w:t>
      </w:r>
      <w:proofErr w:type="gramEnd"/>
    </w:p>
    <w:p w:rsidR="00EF0BA5" w:rsidRDefault="00D02B19" w:rsidP="00C13A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C13A45" w:rsidRDefault="00C13A45" w:rsidP="00C13A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796"/>
        <w:gridCol w:w="1369"/>
        <w:gridCol w:w="900"/>
        <w:gridCol w:w="1275"/>
        <w:gridCol w:w="936"/>
        <w:gridCol w:w="913"/>
        <w:gridCol w:w="875"/>
        <w:gridCol w:w="1275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daru od Hasičského záchranného sboru Ústeckého kraje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daru od Hasičského záchranného sboru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Ústeckého kraje – čerpadlo plovoucí motorové zásahové PH 12000 GCV a pila motorová </w:t>
      </w:r>
    </w:p>
    <w:p w:rsidR="00D02B19" w:rsidRDefault="00D02B19" w:rsidP="00D02B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rozbrušovací pro Jednotku sboru dobrovolných hasičů. Účetní hodnota daru je 72.391,65 Kč.</w:t>
      </w:r>
    </w:p>
    <w:p w:rsidR="00D02B19" w:rsidRDefault="00D02B19" w:rsidP="00D02B1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29.3.2019</w:t>
      </w:r>
      <w:proofErr w:type="gramEnd"/>
    </w:p>
    <w:p w:rsidR="00EF0BA5" w:rsidRDefault="00D02B19" w:rsidP="00C13A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C13A45" w:rsidRDefault="00C13A45" w:rsidP="00C13A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796"/>
        <w:gridCol w:w="1369"/>
        <w:gridCol w:w="900"/>
        <w:gridCol w:w="1275"/>
        <w:gridCol w:w="936"/>
        <w:gridCol w:w="913"/>
        <w:gridCol w:w="875"/>
        <w:gridCol w:w="1275"/>
      </w:tblGrid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EF0BA5" w:rsidRDefault="009A13CF" w:rsidP="000C5516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  <w:tr w:rsidR="00EF0BA5" w:rsidTr="000C5516">
        <w:tc>
          <w:tcPr>
            <w:tcW w:w="1219" w:type="dxa"/>
            <w:shd w:val="clear" w:color="auto" w:fill="auto"/>
          </w:tcPr>
          <w:p w:rsidR="00EF0BA5" w:rsidRDefault="00EF0BA5" w:rsidP="000C551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EF0BA5" w:rsidRDefault="00EF0BA5" w:rsidP="000C5516">
            <w:pPr>
              <w:spacing w:line="360" w:lineRule="auto"/>
              <w:jc w:val="center"/>
            </w:pPr>
          </w:p>
        </w:tc>
      </w:tr>
    </w:tbl>
    <w:p w:rsidR="00D02B19" w:rsidRDefault="00D02B19" w:rsidP="00D02B1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2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tarosta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proofErr w:type="spellEnd"/>
    </w:p>
    <w:p w:rsidR="00D02B19" w:rsidRDefault="00D02B19" w:rsidP="00A9615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2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B42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B42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B426CD" w:rsidRDefault="00B426CD" w:rsidP="00A9615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6CD" w:rsidRDefault="00B426CD" w:rsidP="00A9615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A45" w:rsidRDefault="00C13A45" w:rsidP="00C13A45">
      <w:pPr>
        <w:pStyle w:val="Nadpis1"/>
      </w:pPr>
    </w:p>
    <w:p w:rsidR="00C13A45" w:rsidRDefault="00C13A45" w:rsidP="00C13A45">
      <w:pPr>
        <w:pStyle w:val="Nadpis1"/>
      </w:pPr>
      <w:r>
        <w:t>Za správnost vyhotovení: Pavlína Kloučková</w:t>
      </w:r>
    </w:p>
    <w:p w:rsidR="00C13A45" w:rsidRDefault="00C13A45" w:rsidP="00C13A45">
      <w:pPr>
        <w:pStyle w:val="Zkladntext"/>
      </w:pPr>
    </w:p>
    <w:p w:rsidR="00C13A45" w:rsidRDefault="00C13A45" w:rsidP="00C13A45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C13A45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16" w:rsidRDefault="000C5516" w:rsidP="00D20494">
      <w:pPr>
        <w:spacing w:after="0" w:line="240" w:lineRule="auto"/>
      </w:pPr>
      <w:r>
        <w:separator/>
      </w:r>
    </w:p>
  </w:endnote>
  <w:endnote w:type="continuationSeparator" w:id="0">
    <w:p w:rsidR="000C5516" w:rsidRDefault="000C5516" w:rsidP="00D2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52563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C5516" w:rsidRDefault="000C5516" w:rsidP="00D2049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8E9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8E9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5516" w:rsidRDefault="000C55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16" w:rsidRDefault="000C5516" w:rsidP="00D20494">
      <w:pPr>
        <w:spacing w:after="0" w:line="240" w:lineRule="auto"/>
      </w:pPr>
      <w:r>
        <w:separator/>
      </w:r>
    </w:p>
  </w:footnote>
  <w:footnote w:type="continuationSeparator" w:id="0">
    <w:p w:rsidR="000C5516" w:rsidRDefault="000C5516" w:rsidP="00D20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19"/>
    <w:rsid w:val="0004637A"/>
    <w:rsid w:val="000A4FA1"/>
    <w:rsid w:val="000C402F"/>
    <w:rsid w:val="000C5516"/>
    <w:rsid w:val="00234888"/>
    <w:rsid w:val="00252D22"/>
    <w:rsid w:val="002B2DD6"/>
    <w:rsid w:val="004631FD"/>
    <w:rsid w:val="004A599F"/>
    <w:rsid w:val="004B66E8"/>
    <w:rsid w:val="005315AE"/>
    <w:rsid w:val="00632170"/>
    <w:rsid w:val="0065035C"/>
    <w:rsid w:val="006F081A"/>
    <w:rsid w:val="007618E9"/>
    <w:rsid w:val="009A13CF"/>
    <w:rsid w:val="009C03E9"/>
    <w:rsid w:val="00A9615B"/>
    <w:rsid w:val="00B426CD"/>
    <w:rsid w:val="00C13A45"/>
    <w:rsid w:val="00C8116E"/>
    <w:rsid w:val="00C83D2E"/>
    <w:rsid w:val="00CC221A"/>
    <w:rsid w:val="00CE0A38"/>
    <w:rsid w:val="00D02B19"/>
    <w:rsid w:val="00D20494"/>
    <w:rsid w:val="00DF2A47"/>
    <w:rsid w:val="00E11C5A"/>
    <w:rsid w:val="00EF02EE"/>
    <w:rsid w:val="00E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13A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494"/>
  </w:style>
  <w:style w:type="paragraph" w:styleId="Zpat">
    <w:name w:val="footer"/>
    <w:basedOn w:val="Normln"/>
    <w:link w:val="ZpatChar"/>
    <w:uiPriority w:val="99"/>
    <w:unhideWhenUsed/>
    <w:rsid w:val="00D2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494"/>
  </w:style>
  <w:style w:type="character" w:customStyle="1" w:styleId="Nadpis1Char">
    <w:name w:val="Nadpis 1 Char"/>
    <w:basedOn w:val="Standardnpsmoodstavce"/>
    <w:link w:val="Nadpis1"/>
    <w:rsid w:val="00C13A4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13A4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13A4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13A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494"/>
  </w:style>
  <w:style w:type="paragraph" w:styleId="Zpat">
    <w:name w:val="footer"/>
    <w:basedOn w:val="Normln"/>
    <w:link w:val="ZpatChar"/>
    <w:uiPriority w:val="99"/>
    <w:unhideWhenUsed/>
    <w:rsid w:val="00D2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494"/>
  </w:style>
  <w:style w:type="character" w:customStyle="1" w:styleId="Nadpis1Char">
    <w:name w:val="Nadpis 1 Char"/>
    <w:basedOn w:val="Standardnpsmoodstavce"/>
    <w:link w:val="Nadpis1"/>
    <w:rsid w:val="00C13A4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13A4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13A4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7508-603E-4B69-9D9E-6FE45D42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6342</Words>
  <Characters>33940</Characters>
  <Application>Microsoft Office Word</Application>
  <DocSecurity>0</DocSecurity>
  <Lines>282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9</cp:revision>
  <cp:lastPrinted>2019-03-26T12:01:00Z</cp:lastPrinted>
  <dcterms:created xsi:type="dcterms:W3CDTF">2019-03-26T11:34:00Z</dcterms:created>
  <dcterms:modified xsi:type="dcterms:W3CDTF">2019-03-26T12:01:00Z</dcterms:modified>
</cp:coreProperties>
</file>