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BE" w:rsidRDefault="00E23A1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A33BE" w:rsidRDefault="000471C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4B6684" wp14:editId="56A8AEBE">
            <wp:simplePos x="0" y="0"/>
            <wp:positionH relativeFrom="column">
              <wp:posOffset>2219960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15">
        <w:rPr>
          <w:rFonts w:ascii="Arial" w:hAnsi="Arial" w:cs="Arial"/>
          <w:sz w:val="24"/>
          <w:szCs w:val="24"/>
        </w:rPr>
        <w:tab/>
      </w:r>
      <w:r w:rsidR="00E23A1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A33BE" w:rsidRDefault="00E23A1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047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A33BE" w:rsidRDefault="00E23A1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15.4.2019</w:t>
      </w:r>
      <w:proofErr w:type="gramEnd"/>
    </w:p>
    <w:p w:rsidR="003A33BE" w:rsidRDefault="00E23A1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227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298 /19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Chrám Chmele a Piva CZ,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Výmaz součásti ZŠ a MŠ při nemocnici v Žatci – ZŠ a MŠ, Žatec, Jižní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2777, okres Louny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provozování součásti ZŠ a MŠ při zdravotnickém zařízení – ZŠ a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MŠ, Žatec, Dvořákova 24, okres Louny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provozování činnosti dvou přípravných tříd při Základní škole a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Mateřské škole, Žatec, Dvořákova 24, okres Louny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nejvyššího počtu dětí ve třídě na školní rok 2019/2020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kapacity školní družiny – ZŠ Žatec, nám. 28. října 1019, okres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2019 – MŠ Žatec, Fügnerova 2051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o povolení podání žádosti o podporu v rámci projektu OP VVV –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Šablony II – Výzva č. 02_18_063 – MŠ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o povolení podání žádosti o podporu v rámci projektu OP VVV –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Šablony II – Výzva č. 02_18_063 – ZŠ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závěrky PO za rok 2018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Přerozdělení výsledků hospodaření za rok 2018 příspěvkových organizací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Rozpočty a Střednědobé výhledy rozpočtů PO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31.03.2019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dohody o provedení práce – ZŠ a MŠ Jižní 2777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2019 – ostatní organizace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Žatec, U Jezu 2903, okres Louny – posílení fondu investic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(pořízení herních prvků)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Myslivecký Spolek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doplatky za volby roku 2018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obstarání produkčního, technického a organizačního zabezpečení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farmářských trhů v roce 2019 v Žatci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 kole dětem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2019 – ostatní organizace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Žatecký zpravodaj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BESIP – cena do okresního kola dopravní soutěže mladých cyklistů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6 Územního plánu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za rok 2018 – PO Domov pro seniory a Pečovatelská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1244/3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společnosti Žatecká teplárenská a.s. – majetkový nesoulad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Elišky Krásnohorské,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„VPIC-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Sklad sypkých materiálů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„Přípojka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1406/3,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Mostecká ulice“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LN_Rekonstrukce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TS LN_1227 – nová DTS“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Pověření Kanceláře úřadu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TIC k uzavírání smluv o výpůjčce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prodejního zařízení – stánků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Státního statku Jeneč, státního podniku v likvidaci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p. p. č. 741/38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 majetku města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p. p. č. 7162/3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města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p. p. č. 1710/1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exteriérových scén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wunderbaren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slevu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část pozemku p. p. č. 3977/2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Zásady pro prodej nemovitostí z majetku Města Žatce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prostoru sloužícího k podnikání v č. p. 149 nám. Svobody v Žatci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nemovitosti pozemku st. p. č. 1414, jehož součástí je stavba č. p.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1232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odstranění staveb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Rezerva Programu regenerace městských památkových rezervací a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městských památkových zón pro rok 2019 – podání žádosti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– Technická infrastruktura Pod kamenným vrškem - 3. etapa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5 – Rozšíření sběrné sítě odpadů v Žatci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a rozpočtové opatření na „Projektovou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dokumentaci na vodovod a vodovodní přípojky Trnovany“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a rozpočtové opatření na realizaci akce „Úprava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ceremon</w:t>
      </w:r>
      <w:r w:rsidR="00245763">
        <w:rPr>
          <w:rFonts w:ascii="Times New Roman" w:hAnsi="Times New Roman" w:cs="Times New Roman"/>
          <w:color w:val="000000"/>
          <w:sz w:val="24"/>
          <w:szCs w:val="24"/>
        </w:rPr>
        <w:t>iálních ploch a okolí památníku“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„STADION FK SLAVOJ, ŽATEC – VYBUDOVÁNÍ TRIBUNY A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ZASTŘEŠENÍ JEJÍ ČÁSTI“ – zrušení výběrového řízení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Osvětlení soch na Hošťálkově náměstí v Žatci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Dostavba bazénu pro děti ve věku 5 – 12 let na koupališti v Žatci –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– zadání studií – „Využití objektu PDA č. p. 323 a 584, Žatec“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– zadání studie – „Objekt Jitřenka č. p. 1829, Žatec“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a rekonstrukce komunikace na p. p. č.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1205/1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projektové dokumentace „Rekonstrukce ulice Svatopluka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Čecha, Žatec“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„Plánované opravy komunikací pro rok 2018, Žatec“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uvolnění finančních prostředků na zpracování PD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ulice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smlouvě budoucí o realizaci přeložky distribučního zařízení </w:t>
      </w:r>
    </w:p>
    <w:p w:rsidR="003A33BE" w:rsidRDefault="00E23A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určeného k dodávce elektrické energie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dodavatele: „Revitalizace Hošťálkova náměstí v Žatci“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navýšení mzdových prostředků správa, funkcionáři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3A33BE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finanční příspěvek – PO Kamarád-LORM</w:t>
      </w:r>
    </w:p>
    <w:p w:rsidR="00E23A15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E23A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C7" w:rsidRDefault="00047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471C7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23A15" w:rsidRDefault="000471C7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170C5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schvaluje opravu textu názvu usnesení č. 134/19 „Záměr města pronajmout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pozemky p. p. č. 6193/11 a p. p. č. 6164/6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města“ tak, že se nahrazuje textem „Záměr města pronajmout pozemky p. p. č. 6193/11 a st. p. č. 5344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města“.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Chrám Chmele a Piva CZ,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na místě u organizace Chrám Chmele a Piva CZ, příspěvková organizace, ukládá příspěvkové organizaci odvod za porušení rozpočtové kázně a uhradit částku 165.240,00 Kč na příjmový účet č. 19–422481/0100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Dále ukládá pověřenému řediteli splnit doporučení uvedená v protokolu.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Výmaz součásti ZŠ a MŠ při nemocnici v Žatci – ZŠ a MŠ, Žatec, Jižní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2777, okres Louny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  <w:r w:rsidR="0004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 Mgr. Martina Hnízdila a schvaluje výmaz součásti ZŠ a MŠ při nemocnici a výmaz celé součásti MŠ při Základní škole a Mateřské škole, Žatec, Jižní 2777, okres Louny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Základní škole a Mateřské škole, Žatec, Jižní 2777, okres Louny Změnu zřizovací listiny,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0471C7" w:rsidRDefault="000471C7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provozování součásti ZŠ a MŠ při zdravotnickém zařízení – ZŠ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MŠ, Žatec, Dvořákova 24, okres Louny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schvaluje provozování součásti základní školy a mateřské školy při zdravotnickém zařízení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sídlem Husova 2796, Žatec.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Žatec, Dvořákova 24, okres Louny Mgr. Radky Vlčkové a schvaluje zápis součásti ZŠ a MŠ při zdravotnickém zařízení se sídlem Husova 2796,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Základní škole a Mateřské škole, Žatec, Dvořákova 24, okres Louny změnu zřizovací listiny, a to s účinností od </w:t>
      </w:r>
      <w:proofErr w:type="gramStart"/>
      <w:r w:rsidR="000471C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schvaluje navýšení kapacity z 240 žáků na 260 žáků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to navýšení ZŠ při zdravotnickém zařízení o 12 žáků a navýšení MŠ při zdravotnickém zařízení o 8 dětí.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provozování činnosti dvou přípravných tříd při Základní škole a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škole, Žatec, Dvořákova 24, okres Louny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souhlasí s provozováním dvou přípravných tříd, a to na pracovišti Lidická 1254 a Dvořákova 24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31.08.2020, za předpokladu, že budou splněna všechna ustanovení § 47 zákona č. 561/2004 Sb., o předškolním, základním, středním, vyšším odborném a jiném vzdělávání (školský </w:t>
      </w:r>
      <w:r w:rsidR="000471C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ákon), ve znění pozdějších předpisů.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nejvyššího počtu dětí ve třídě na školní rok 2019/2020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U Jezu 2903, okres Louny a povoluje výjimku z nejvyššího počtu dětí ve třídě na školní rok 2019/2020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Podměstí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Otakara Březiny 2769, okres Louny a povoluje výjimku z nejvyššího počtu dětí ve třídě na školní rok 2019/2020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Bratří Čapků 2775, okres Louny a povoluje výjimku z nejvyššího počtu dětí ve třídě na školní rok 2019/2020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do 25 dětí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do 25 dětí.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Žatec, Dvořákova 24, okres Louny a povoluje výjimku z nejvyššího počtu dětí ve třídě na školní rok 2019/2020 – součást mateřská škola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471C7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dětí.</w:t>
      </w:r>
    </w:p>
    <w:p w:rsidR="000471C7" w:rsidRDefault="000471C7" w:rsidP="00047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0471C7" w:rsidP="00047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Navýšení kapacity školní družiny – ZŠ Žatec, nám. 28. října 1019, okres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0471C7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o navýšení kapacity počtu žáků ve školní družině a schvaluje navýšení kapacity z 60 na 90 žáků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1C7" w:rsidRDefault="000471C7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0471C7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30.6.2019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2019 – MŠ Žatec, Fügnerova 2051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31 odst. 1 písm. a) zákona č. 250/2000 Sb., o rozpočtových pravidlech územních rozpočtů, ve znění pozdějších předpisů, Mateřské škole Žatec, Fügnerova 2051, okres Louny odpisový plán dlouhodobého majetku na rok 2019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ve výši 16.125,00 Kč.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o povolení podání žádosti o podporu v rámci projektu OP VVV –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Šablony II – Výzva č. 02_18_063 – MŠ Žatec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podáním žádosti Mateřské školy Žatec, Fügnerova 2051, okres Louny do dotačního programu MŠMT v rámci projektu OP VVV Šablony II, výzva č. 02_18_063 na částku 544.632,00 Kč bez spoluúčasti zřizovatele, a to na zapojení do konkrétní šablony Chůva – personální podpora MŠ, vzdělávání pedagogických pracovníků MŠ – DVPP v rozsahu 8 hodin.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o povolení podání žádosti o podporu v rámci projektu OP VVV –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Šablony II – Výzva č. 02_18_063 – ZŠ Žatec</w:t>
      </w:r>
    </w:p>
    <w:p w:rsidR="00E23A15" w:rsidRDefault="00E23A15" w:rsidP="000471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podáním žádosti Základní školy Žatec, nám. 28. října 1019, okres Louny do dotačního programu MŠMT v rámci projektu OP VVV Šablony II, výzva č. 02_18_063 na částku 1.160.768,00 Kč bez spoluúčasti zřizovatele, a to na zapojení do konkrétní šablony - Školní asistent personální podpora ZŠ; Vzdělávání pedagogických pracovníků ZŠ; Klub pro žáky ZŠ – klub zábavné logiky deskových her a klub komunikace v cizím jazyce; Doučování žáků ZŠ ohrožených školním neúspěchem; Komunitně osvětová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setkání; Školní asistent – personální podpora ŠD/ŠK a Vzdělávání pedagogických pracovníků ŠD/ŠK.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0471C7" w:rsidRDefault="000471C7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závěrky PO za rok 2018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ustanovení § 102 odst. o) zákona č. 128/2000Sb., o obcích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účetní závěrky příspěvkových organizací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Žatcem sestavené k rozvahovému dni, a to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Přerozdělení výsledků hospodaření za rok 2018 příspěvkových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 zřízených Městem Žatec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zákona č. 128/2000 Sb., o obcích (obecní zřízení) a zákona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250/2000 Sb., o rozpočtových pravidlech územních rozpočtů, oba ve znění pozdějších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přerozdělení zlepšených výsledků hospodaření za rok 2018 příspěvkových organizací zřízených Městem Žatec:</w:t>
      </w:r>
    </w:p>
    <w:p w:rsidR="00BE3B8F" w:rsidRPr="003E4D15" w:rsidRDefault="00BE3B8F" w:rsidP="00BE3B8F">
      <w:pPr>
        <w:pStyle w:val="standard"/>
        <w:suppressLineNumbers/>
        <w:jc w:val="both"/>
        <w:rPr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846"/>
        <w:gridCol w:w="1735"/>
        <w:gridCol w:w="1735"/>
      </w:tblGrid>
      <w:tr w:rsidR="00BE3B8F" w:rsidTr="00BE3B8F">
        <w:trPr>
          <w:trHeight w:val="538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Přerozdělení zlepšeného VH dosaženého PO k </w:t>
            </w:r>
            <w:proofErr w:type="gramStart"/>
            <w:r>
              <w:rPr>
                <w:b/>
                <w:bCs/>
                <w:color w:val="000000"/>
              </w:rPr>
              <w:t>31.12.2018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 </w:t>
            </w:r>
            <w:proofErr w:type="gramStart"/>
            <w:r>
              <w:rPr>
                <w:b/>
                <w:bCs/>
                <w:color w:val="000000"/>
              </w:rPr>
              <w:t>31.12.2018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rezervní fond z VH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E3B8F" w:rsidRDefault="00BE3B8F" w:rsidP="00BE3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</w:pPr>
            <w:r w:rsidRPr="00E47C5F">
              <w:t>MŠS Žatec, Studentská 1416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16.227,10</w:t>
            </w:r>
            <w:r w:rsidRPr="00E47C5F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E47C5F">
              <w:t xml:space="preserve">0,00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16.227,10</w:t>
            </w:r>
            <w:r w:rsidRPr="00E47C5F">
              <w:t xml:space="preserve"> 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</w:pPr>
            <w:r w:rsidRPr="00E47C5F">
              <w:t>MŠ Žatec, Studentská 1230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171.755,21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E47C5F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171.755,21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</w:pPr>
            <w:r w:rsidRPr="00DF7603">
              <w:t>MŠ Žatec, Fügnerova 2051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182.686,58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DF7603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182.686,58</w:t>
            </w:r>
            <w:r w:rsidRPr="00DF7603">
              <w:t xml:space="preserve"> 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</w:pPr>
            <w:r w:rsidRPr="0022452A">
              <w:t>MŠ Žatec, U Jezu 2903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243.</w:t>
            </w:r>
            <w:r w:rsidRPr="0022452A">
              <w:rPr>
                <w:b/>
                <w:bCs/>
              </w:rPr>
              <w:t xml:space="preserve">422,06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22452A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243.</w:t>
            </w:r>
            <w:r w:rsidRPr="0022452A">
              <w:t xml:space="preserve">422,06 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</w:pPr>
            <w:r w:rsidRPr="007F7C35">
              <w:t>MŠ Žatec, Otakara Březiny 2769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115.666,52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7F7C35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115.666,52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</w:pPr>
            <w:r w:rsidRPr="00DF7603">
              <w:t>MŠ Žatec, Bratří Čapků 2775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43.611,77</w:t>
            </w:r>
            <w:r w:rsidRPr="00DF7603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DF7603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DF7603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43.611,77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5F42B6" w:rsidRDefault="00BE3B8F" w:rsidP="00BE3B8F">
            <w:pPr>
              <w:autoSpaceDE w:val="0"/>
              <w:autoSpaceDN w:val="0"/>
              <w:adjustRightInd w:val="0"/>
            </w:pPr>
            <w:r w:rsidRPr="005F42B6">
              <w:t>ZŠ Žatec, Petra Bezruče 2000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5F42B6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F42B6">
              <w:rPr>
                <w:b/>
                <w:bCs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5F42B6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5F42B6"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5F42B6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5F42B6">
              <w:t>0,00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</w:pPr>
            <w:r w:rsidRPr="00E47C5F">
              <w:t>ZŠ Žatec, Komenského alej 749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286.979,36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10.</w:t>
            </w:r>
            <w:r w:rsidRPr="00E47C5F">
              <w:t>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276.979,36</w:t>
            </w:r>
          </w:p>
        </w:tc>
      </w:tr>
      <w:tr w:rsidR="00BE3B8F" w:rsidRPr="00E47C5F" w:rsidTr="00BE3B8F">
        <w:trPr>
          <w:trHeight w:val="345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</w:pPr>
            <w:r w:rsidRPr="00E47C5F">
              <w:t>ZŠ Žatec, nám. 28. října 1019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E47C5F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BE3B8F" w:rsidTr="00BE3B8F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</w:pPr>
            <w:r w:rsidRPr="00E47C5F"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372.105,55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E47C5F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372.105,55</w:t>
            </w:r>
            <w:r w:rsidRPr="00E47C5F">
              <w:t xml:space="preserve">  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</w:pPr>
            <w:r w:rsidRPr="007F7C35"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155.267,46</w:t>
            </w:r>
            <w:r w:rsidRPr="007F7C35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80.</w:t>
            </w:r>
            <w:r w:rsidRPr="007F7C35">
              <w:t>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75.267,46</w:t>
            </w:r>
            <w:r w:rsidRPr="007F7C35">
              <w:t xml:space="preserve"> 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</w:pPr>
            <w:r w:rsidRPr="00E47C5F">
              <w:t>ZŠ a MŠ, Žatec, Dvořákova 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144.447,65</w:t>
            </w:r>
            <w:r w:rsidRPr="00E47C5F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E47C5F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144.447,65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</w:pPr>
            <w:r w:rsidRPr="007F7C35">
              <w:t>Městská knihovna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32.089,36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7F7C35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32.089,36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7C35">
              <w:rPr>
                <w:sz w:val="18"/>
                <w:szCs w:val="18"/>
              </w:rPr>
              <w:t>Regionální muzeum K.</w:t>
            </w:r>
            <w:r>
              <w:rPr>
                <w:sz w:val="18"/>
                <w:szCs w:val="18"/>
              </w:rPr>
              <w:t xml:space="preserve"> </w:t>
            </w:r>
            <w:r w:rsidRPr="007F7C35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7F7C35">
              <w:rPr>
                <w:sz w:val="18"/>
                <w:szCs w:val="18"/>
              </w:rPr>
              <w:t>Polánka,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241.669,19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90.</w:t>
            </w:r>
            <w:r w:rsidRPr="007F7C35">
              <w:t>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151.669,19</w:t>
            </w:r>
            <w:r w:rsidRPr="007F7C35">
              <w:t xml:space="preserve"> </w:t>
            </w:r>
          </w:p>
        </w:tc>
      </w:tr>
      <w:tr w:rsidR="00BE3B8F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</w:pPr>
            <w:r w:rsidRPr="0022452A">
              <w:t>Městské divadlo Žatec, Dvořákova 27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270.261,07</w:t>
            </w:r>
            <w:r w:rsidRPr="0022452A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22452A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2452A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270.261,07</w:t>
            </w:r>
          </w:p>
        </w:tc>
      </w:tr>
      <w:tr w:rsidR="00BE3B8F" w:rsidTr="00BE3B8F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E47C5F" w:rsidRDefault="00BE3B8F" w:rsidP="00BE3B8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47C5F">
              <w:rPr>
                <w:sz w:val="19"/>
                <w:szCs w:val="19"/>
              </w:rPr>
              <w:t xml:space="preserve">Domov pro seniory a </w:t>
            </w:r>
            <w:r>
              <w:rPr>
                <w:sz w:val="19"/>
                <w:szCs w:val="19"/>
              </w:rPr>
              <w:t>P</w:t>
            </w:r>
            <w:r w:rsidRPr="00E47C5F">
              <w:rPr>
                <w:sz w:val="19"/>
                <w:szCs w:val="19"/>
              </w:rPr>
              <w:t>eč.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 w:rsidRPr="00E47C5F">
              <w:rPr>
                <w:sz w:val="19"/>
                <w:szCs w:val="19"/>
              </w:rPr>
              <w:t>služba</w:t>
            </w:r>
            <w:proofErr w:type="gramEnd"/>
            <w:r w:rsidRPr="00E47C5F">
              <w:rPr>
                <w:sz w:val="19"/>
                <w:szCs w:val="19"/>
              </w:rPr>
              <w:t xml:space="preserve"> v Žatci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788,42</w:t>
            </w:r>
            <w:r w:rsidRPr="007F7C35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630,00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158,42</w:t>
            </w:r>
          </w:p>
        </w:tc>
      </w:tr>
      <w:tr w:rsidR="00BE3B8F" w:rsidRPr="009C1D74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31747" w:rsidRDefault="00BE3B8F" w:rsidP="00BE3B8F">
            <w:pPr>
              <w:autoSpaceDE w:val="0"/>
              <w:autoSpaceDN w:val="0"/>
              <w:adjustRightInd w:val="0"/>
            </w:pPr>
            <w:r w:rsidRPr="00231747">
              <w:t>Kamarád</w:t>
            </w:r>
            <w:r>
              <w:t>-</w:t>
            </w:r>
            <w:r w:rsidRPr="00231747">
              <w:t>LORM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31747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294.</w:t>
            </w:r>
            <w:r w:rsidRPr="00231747">
              <w:rPr>
                <w:b/>
                <w:bCs/>
              </w:rPr>
              <w:t>237,89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231747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231747">
              <w:t>73</w:t>
            </w:r>
            <w:r>
              <w:t>.</w:t>
            </w:r>
            <w:r w:rsidRPr="00231747">
              <w:t xml:space="preserve">559,00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231747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220.</w:t>
            </w:r>
            <w:r w:rsidRPr="00231747">
              <w:t xml:space="preserve">678,89 </w:t>
            </w:r>
          </w:p>
        </w:tc>
      </w:tr>
      <w:tr w:rsidR="00BE3B8F" w:rsidRPr="009C1D74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584E7B" w:rsidRDefault="00BE3B8F" w:rsidP="00BE3B8F">
            <w:pPr>
              <w:autoSpaceDE w:val="0"/>
              <w:autoSpaceDN w:val="0"/>
              <w:adjustRightInd w:val="0"/>
            </w:pPr>
            <w:r w:rsidRPr="00584E7B">
              <w:t>Technické služby města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584E7B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261.420,00</w:t>
            </w:r>
            <w:r w:rsidRPr="00584E7B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8F" w:rsidRPr="00584E7B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100.000,00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B8F" w:rsidRPr="00584E7B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161.420,00</w:t>
            </w:r>
          </w:p>
        </w:tc>
      </w:tr>
      <w:tr w:rsidR="00BE3B8F" w:rsidRPr="009C1D74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3B8F" w:rsidRPr="00942F49" w:rsidRDefault="00BE3B8F" w:rsidP="00BE3B8F">
            <w:pPr>
              <w:autoSpaceDE w:val="0"/>
              <w:autoSpaceDN w:val="0"/>
              <w:adjustRightInd w:val="0"/>
            </w:pPr>
            <w:r w:rsidRPr="00942F49">
              <w:t>Chrám Chmele a Piva CZ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3B8F" w:rsidRPr="00942F49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42F49">
              <w:rPr>
                <w:b/>
                <w:bCs/>
              </w:rPr>
              <w:t>836</w:t>
            </w:r>
            <w:r>
              <w:rPr>
                <w:b/>
                <w:bCs/>
              </w:rPr>
              <w:t>.</w:t>
            </w:r>
            <w:r w:rsidRPr="00942F49">
              <w:rPr>
                <w:b/>
                <w:bCs/>
              </w:rPr>
              <w:t>158,93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E3B8F" w:rsidRPr="00942F49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942F49"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3B8F" w:rsidRPr="00942F49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836.</w:t>
            </w:r>
            <w:r w:rsidRPr="00942F49">
              <w:t>158,93</w:t>
            </w:r>
          </w:p>
        </w:tc>
      </w:tr>
      <w:tr w:rsidR="00BE3B8F" w:rsidRPr="009C1D74" w:rsidTr="00BE3B8F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3B8F" w:rsidRPr="00584E7B" w:rsidRDefault="00BE3B8F" w:rsidP="00BE3B8F">
            <w:pPr>
              <w:autoSpaceDE w:val="0"/>
              <w:autoSpaceDN w:val="0"/>
              <w:adjustRightInd w:val="0"/>
            </w:pPr>
            <w:r w:rsidRPr="00584E7B">
              <w:t>Městské lesy Žatec, Holedeč 50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118.581,58</w:t>
            </w:r>
            <w:r w:rsidRPr="007F7C35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 w:rsidRPr="007F7C35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3B8F" w:rsidRPr="007F7C35" w:rsidRDefault="00BE3B8F" w:rsidP="00BE3B8F">
            <w:pPr>
              <w:autoSpaceDE w:val="0"/>
              <w:autoSpaceDN w:val="0"/>
              <w:adjustRightInd w:val="0"/>
              <w:jc w:val="right"/>
            </w:pPr>
            <w:r>
              <w:t>118.581,58</w:t>
            </w:r>
          </w:p>
        </w:tc>
      </w:tr>
      <w:tr w:rsidR="00BE3B8F" w:rsidRPr="009C1D74" w:rsidTr="00BE3B8F">
        <w:trPr>
          <w:trHeight w:val="449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B8F" w:rsidRPr="009C1D74" w:rsidRDefault="00BE3B8F" w:rsidP="00BE3B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1D74">
              <w:rPr>
                <w:b/>
                <w:bCs/>
              </w:rPr>
              <w:t>CELKEM: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B8F" w:rsidRPr="009C1D74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3.787.375,70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3B8F" w:rsidRPr="009C1D74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354.189,00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B8F" w:rsidRPr="009C1D74" w:rsidRDefault="00BE3B8F" w:rsidP="00BE3B8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3.433.186,70 </w:t>
            </w:r>
            <w:r w:rsidRPr="009C1D74">
              <w:rPr>
                <w:b/>
                <w:bCs/>
              </w:rPr>
              <w:t xml:space="preserve"> </w:t>
            </w:r>
          </w:p>
        </w:tc>
      </w:tr>
    </w:tbl>
    <w:p w:rsidR="00BE3B8F" w:rsidRDefault="00BE3B8F" w:rsidP="00BE3B8F">
      <w:pPr>
        <w:pStyle w:val="standard"/>
        <w:suppressLineNumbers/>
        <w:jc w:val="both"/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tím, že část zlepšeného hospodářského výsledku Regionálního muzea K. A. Polánka v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bude použita na financování Dnů evropského dědictví v roce 2019.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současně pověřuje Regionální muzeum K. A. Polánka v Žatci organizací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Dnů evropského dědictví v Žatci v roce 2019.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BE3B8F">
        <w:rPr>
          <w:rFonts w:ascii="Times New Roman" w:hAnsi="Times New Roman" w:cs="Times New Roman"/>
          <w:color w:val="000000"/>
          <w:sz w:val="20"/>
          <w:szCs w:val="20"/>
        </w:rPr>
        <w:t>ŘEDITELÉ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Rozpočty a Střednědobé výhledy rozpočtů PO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schvaluje, na základě § 28 odst. 1 zákona č. 250/2000 Sb., o rozpočtových pravidlech územních rozpočtů, ve znění pozdějších předpisů, příspěvkovým organizacím zřízených městem Žatec Rozpočty na rok 2019 a Střednědobé výhledy rozpočtů na období 2020 a 2021 dle předložených návrhů.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31.03.2019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31.03.2019.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31.03.2019.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dohody o provedení práce – ZŠ a MŠ Jižní 2777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 Mgr. Martina Hnízdila a na základě § 102 odst. 2 písmeno b) zákona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128/2000 Sb., o obcích, ve znění pozdějších předpisů, schvaluje uzavření dohody o provedení práce s Mgr. Hnízdilem a pověřuje starostku města podpisem dohody.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2019 – ostatní organizace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ostatním organizacím pro rok 2019 do 50.000,00 Kč dle předloženého návrhu č. 1.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dotací ostatním organizacím pro rok 2019 nad 50.000,00 Kč, a to spolku Klub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Letecké amatérské asociace CS v Žatci, IČ 183 82 151, se sídlem Podměstí 2173, 438 01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ve výši 84.000,00 Kč na opravu sekačky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hydročerpadla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organizacím pro rok 2019 do výše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písm. c) zákona č. 128/2000 Sb., o obcích (obecní zřízení), ve znění pozdějších předpisů, poskytnutí finančních příspěvků ostatním organizacím pro rok 2019 nad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BE3B8F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Mateřská škola Žatec, U Jezu 2903, okres Louny – posílení fondu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investic (pořízení herních prvků)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Louny 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30 odst. 4 zákona č. 250/2000 Sb., o rozpočtových pravidlech územních rozpočtů, ve znění pozdějších předpisů, dává příspěvkové organizaci souhlas, aby část svého rezervního fondu ve výši 350.000,00 Kč použila k posílení svého fondu investic.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čerpáním fondu investic Mateřské školy Žatec, U Jezu 2903,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ve výši 350.000,00 Kč, a to pořízení herních prvků.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Myslivecký Spolek Žatec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ve výši 40.000,00 Kč na rok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2019 Mysliveckému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 71198903, se sídlem Bezděkov č. p. 65, Žatec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financování nákladů spojených s nákupem bažantí zvěře a zároveň schvaluje rozpočtové opatření na uvolnění finančních prostředků z rezervního fondu.</w:t>
      </w:r>
    </w:p>
    <w:p w:rsidR="005652C0" w:rsidRDefault="005652C0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741-6171-5901           - 40.000,00 Kč (RF)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    + 40.000,00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příspěvek).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doplatky za volby roku 2018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106.000,00 Kč, a to zapojení doplatků ze státního rozpočtu na volby prezidenta republiky ČR ve výši 67.786,72 Kč a na volby do Parlamentu ČR a zastupitelstev obcí ve výši 38.354,22 Kč do rozpočtu města na kap. 719 – provoz.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719-6402-2222, ÚZ 98 008         68.000,00 Kč (doplatek prezident)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719-6402-2222, ÚZ 98 187         38.000,00 Kč (doplatek ZM)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719-6171-5169                   106.000,00 Kč (kap. 719 – provoz).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obstarání produkčního, technického a organizačního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zabezpečení farmářských trhů v roce 2019 v Žatci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obstarání produkčního, technického a </w:t>
      </w:r>
    </w:p>
    <w:p w:rsidR="00BE3B8F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organizačního zabezpečení farmářských trhů v roce 2019 v Žatci.</w:t>
      </w:r>
    </w:p>
    <w:p w:rsidR="00E23A15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použití městského znaku pro Fotbalový oddíl SKJ Junior Žatec na dresech a dalším oblečení oddílu, pozvánkách, náborových letácích a plakátech informujících o aktivitách a pořádaných akcích oddílu, prezentacích oddílu v médiích a v souladu s § 102, odst. 3, zákona č. 128/2000 Sb., o obcích, v platném znění, užití znaku schvaluje.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použití městského znaku na plakátech a pozvánkách k akci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„25. výročí vzniku 4. brigády rychlého nasazení „Obrany národa“ a v souladu s § 102, odst. 3, zákona č. 128/2000 Sb., o obcích, v platném znění, užití znaku schvaluje.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použití městského znaku na propagačních materiálech, v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prezentacích a webových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rámci akce „Na kole dětem 2019“ a v souladu s § 102, odst. 3, zákona č. 128/2000 Sb., o obcích, v platném znění, užití znaku schvaluje.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kole dětem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nadace Na kole dětem a schvaluje poskytnutí finančního příspěvku nadaci Na kole dětem, Na Hrázi 244,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Milokošť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 292 35 715 na realizaci akce pod názvem „Na kole dětem“ ve výši 7.000,00 Kč. Zároveň schvaluje rozpočtové opatření ve výši 7.000,00 Kč na uvolnění finančních prostředků z rezervního fondu.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- 7.000,00 Kč (RF)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741-3429-5229       + 7.000,00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příspěvek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2019 – ostatní organizace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ostatním organizacím pro rok 2019 do 50.000,00 Kč dle předložené tabulky s rozdělením příspěvků.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zákona č. 128/2000 Sb., o obcích (obecní zřízení), ve znění pozdějších předpisů, schválit </w:t>
      </w:r>
      <w:r w:rsidR="00BE3B8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oskytnutí dotací ostatním organizacím pro rok 2019 nad 50.000,00 Kč, a to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Budík,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 04553900, se sídlem Hošťálkovo náměstí 136, 438 01 Žatec ve výši 60.000,00 Kč na akci s názvem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Pestrofest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Žatecký zpravodaj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70.000,00 Kč, a to čerpání rezervního fondu na navýšení výdajů kap. 711 – Žatecký zpravodaj.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- 70.000,00 Kč (RF)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711-3349-5169,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282       + 70.000,00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(Žatecký zpravodaj).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použití městského znaku v publikaci „Knihovny Ústeckého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kraje v novém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mileniu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a v souladu s § 102, odst. 3, zákona č. 128/2000 Sb., o obcích, v </w:t>
      </w:r>
    </w:p>
    <w:p w:rsidR="00BE3B8F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užití znaku schvaluje.</w:t>
      </w:r>
    </w:p>
    <w:p w:rsidR="00BE3B8F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BESIP – cena do okresního kola dopravní soutěže mladých cyklistů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daru – jízdního kola s příslušenstvím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ceně do 8.000,00 Kč vč. DPH jako hlavní ceny vítězi (nejlepšímu jednotlivci) dopravní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soutěže mladých cyklistů vyhlášené Ministerstvem dopravy – BESIP a pořádané odborem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dopravně správních agend MÚ Žatec.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6 Územního plánu Žatec</w:t>
      </w:r>
    </w:p>
    <w:p w:rsidR="00BE3B8F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posoudila předloženou změnu č. 6 Územního plánu Žatec a Zastupitelstvu města Žatce doporučuje variantu 3.</w:t>
      </w:r>
    </w:p>
    <w:p w:rsidR="00E23A15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902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609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1009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804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23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1004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501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202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908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za rok 2018 – PO Domov pro seniory a Pečovatelská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BE3B8F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za rok 2018.</w:t>
      </w:r>
    </w:p>
    <w:p w:rsidR="00BE3B8F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BE3B8F" w:rsidRDefault="00BE3B8F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4"/>
          <w:szCs w:val="24"/>
        </w:rPr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2C0" w:rsidRDefault="005652C0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finančních příspěvků pro rok 2019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187.600,00 Kč dle předloženého návrhu a v souladu se zápisem z jednání sociální a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komise města Žatce na rok 2019.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1244/3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zastavěná plocha a nádvoří st. p. č. 1244/3 o výměře 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13.500,00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společnosti Žatecká teplárenská a.s. – majetkový nesoulad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30 dnů záměr města prodat pozemek st. p. č. 2774/2 o výměře 236 m2 pod stavbou č. p. 2399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stanovenou znaleckým posudkem + poplatky spojené s provedením kupní smlouvy a správní poplatek katastrálnímu úřadu.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Elišky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Krásnohorské, 4616,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Elišky Krásnohorské, 4616,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1xOM“ na pozemku města: p. p. č. 7058/4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kabelové vedení NN, právo ochranného pásma a právo oprávněné strany vyplývající ze zákona č. 458/2000 Sb., energetický zákon, ve znění pozdějších předpisů.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„VPIC-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Sklad sypkých materiálů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ŽtT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Česká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telekomunikační infrastruktura a.s. na stavbu „VPIC-Žatec, Sklad sypkých materiálů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města: p. p. č. 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umístění podzemního komunikačního vedení, vyplývající ze zákona č. 127/2005 Sb., o elektronických komunikacích, ve znění pozdějších předpisů.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„Přípojka vody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1406/3,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Mostecká ulice“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„Přípojka vody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1406/3,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Mostecká ulice“ na pozemku města p. p. č. 6873/2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zřízení vodovodní přípojky, právo ochranného pásma a právo oprávněné strany vyplývající ze zákona č. 274/2001 Sb., zákon o vodovodech a kanalizacích, ve znění pozdějších předpisů.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LN_Rekonstrukce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TS LN_1227 – nová DTS“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LN_Rekonstrukce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TS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LN_1227 – nová DTS“ na pozemku města p. p. č. 4578/27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výměna rozpojovací skříně v pilíři, právo ochranného pásma a právo oprávněné strany vyplývající ze zákona č. 458/2000 Sb., energetický zákon, ve znění pozdějších předpisů.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Default="005652C0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Pověření Kanceláře úřadu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– TIC k uzavírání smluv o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výpůjčce prodejního zařízení – stánků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Kancelář úřadu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TIC k uzavírání smluv o výpůjčce prodejního zařízení – stánků v prostoru nám. Svobody v Žatci na pozemku p. p. č. 6760/2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nabídky, prodeje zboží a poskytování služeb.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Státního statku Jeneč, státního podniku v likvidaci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Státního statku Jeneč, státního podniku v likvidaci,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Třanovského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622/11, Řepy, 163 00 Praha 6, IČ: 00016918 zastoupeného jeho likvidátorem 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>a 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ládá odboru místního hospodářství a majetku jednat o </w:t>
      </w:r>
      <w:r w:rsidR="00BE3B8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odmínkách převodu pozemku p. p. č. 1193/3 ostatní plocha o výměře 396 m2 a pozemku p. p. č. 1168/20 ostatní plocha o výměře 493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Default="005652C0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p. p. č. 741/38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 z majetku města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pozemku p. p. č. 741/38 ostatní plocha o výměře 64 m2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zázemí k domu č. p. 65 v Bezděkově,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 nájemné ve výši 5,00 Kč/m2/rok.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p. p. č. 7162/3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 majetku města</w:t>
      </w:r>
    </w:p>
    <w:p w:rsidR="00BE3B8F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p. p. č. 7162/3 ostatní plocha o výměře 279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pastviny pro koně,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 nájemné ve výši 419,00 Kč ročně.</w:t>
      </w:r>
    </w:p>
    <w:p w:rsidR="00E23A15" w:rsidRDefault="00BE3B8F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p. p. č. 1710/1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exteriérových scén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wunderbaren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E23A15" w:rsidRDefault="00E23A15" w:rsidP="00BE3B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MIA FILM s.r.o., se sídlem Korunní 1030/32, 120 00 Praha 2, IČ: 290 46 106 a schvaluje nájem pozemku p. p. č. 1710/1 ostatní plocha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ul.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natáčení exteriérových scén filmu s názvem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wunderbaren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06.05.2019 za nájemné</w:t>
      </w:r>
      <w:r w:rsidR="00BE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130.000,00 Kč bez DPH.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slevu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část pozemku p. p. č. 3977/2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E47E5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poskytnutí slevy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část pozemku p. p. č. 3977/2 zahrada o výměře 800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schvaluje snížení</w:t>
      </w:r>
      <w:r w:rsidR="0062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50 %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pro prodej nemovitostí z majetku Města Žatce</w:t>
      </w:r>
    </w:p>
    <w:p w:rsidR="00E23A15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zrušení Zásad pro prodej nemovitostí z majetku Města Žatce, schválených usnesením Zastupitelstva města Žatce č. 97/16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současně doporučuje Zastupitelstvu města Žatce schválit Zásady pro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prodej nemovitostí z majetku Města Žatce v upraveném znění.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prostoru sloužícího k podnikání v č. p. 149 nám. Svobody v Žatci</w:t>
      </w:r>
    </w:p>
    <w:p w:rsidR="00E23A15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jednat s nájemcem prostoru sloužícího k podnikání o ploše 103,46 m2, umístěného v přízemí budovy č. p. 149 náměstí Svobody v Žatci, na pozemku zastavěná plocha a nádvoří st. p. č. 166/1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 ukončení nájmu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nájemce paní Jaroslava Růžičková, IČ 11459336 z důvodu, že předmětný nebytový prostor bude využit vlastníkem nemovitosti.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nemovitosti pozemku st. p. č. 1414, jehož součástí je stavba č. p.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1232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23A15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nabýt do majetku Města Žatce, IČ 00265781 nemovitost pozemek zastavěná plocha a nádvoří st. p. č. 1414 o výměře 514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součástí je stavba č. p. 1232, jiná stavba, z majetku Ústeckého kraje, IČ 70892156, se sídlem Velká Hradební 3118/48, 400 01 Ústí nad Labem,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11704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kupní cenu 2.400.000,00 Kč.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odstranění staveb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odstranění stavby nezapsané v katastru nemovitostí, umístěné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ostatní plocha p. p. č. 6824/6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dále odstranění stavby bez č. p./č. e., občanské vybavení,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10001, umístěné na pozemku zastavěná plocha a nádvoří st. p. č. 146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 a odstranění stavby bez č. p./č. e., garáž,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10001, umístěné na pozemku zastavěná plocha a nádvoří st. p. č. 148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300.000,00 Kč, a to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města 2019 z kap. 739 – zchátralé objekty na kap.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739 – místní hospodářství – služby.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739-3699-5901          - 300.000,00 Kč (zchátralé objekty)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(odstranění staveb).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3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DONÍNOVÁ, </w:t>
      </w:r>
      <w:r w:rsidR="006250B3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6250B3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0B3" w:rsidRDefault="006250B3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6250B3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Rezerva Programu regenerace městských památkových rezervací a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městských památkových zón pro rok 2019 – podání žádosti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podání žádosti o dotaci z rezervy Programu regenerace MPR a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MPZ pro rok 2019 na akci obnovy „Restaurování omítek a malířské výzdoby dle restaurátorského průzkumu domu č. p. 108, místností 2, 3, 4 označené restaurátorským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průzkumem a další související práce“ v částce 300.000,00 Kč s DPH.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– Technická infrastruktura Pod kamenným vrškem - 3. etapa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2 ke Smlouvě o dílo ze dne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„Technická infrastruktura Žatec – Pod kamenným vrškem – 3. etapa“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zároveň ukládá starostce města Žatce podepsat tento dodatek.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5 – Rozšíření sběrné sítě odpadů v Žatci</w:t>
      </w:r>
    </w:p>
    <w:p w:rsidR="005652C0" w:rsidRDefault="00E23A15" w:rsidP="005652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5 ke Kupní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akce: „Rozšíření sběrné sítě odpadů v Žatci“ a ukládá starostce města tento dodatek podepsat.</w:t>
      </w:r>
    </w:p>
    <w:p w:rsidR="005652C0" w:rsidRDefault="005652C0" w:rsidP="005652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5652C0" w:rsidP="005652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26.4.2019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a rozpočtové opatření na „Projektovou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dokumentaci na vodovod a vodovodní přípojky Trnovany“</w:t>
      </w:r>
    </w:p>
    <w:p w:rsidR="00E23A15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k veřejné zakázce malého rozsahu na projektové práce na zhotovitele „Projektová dokumentace na vodovod a vodovodní přípojky Trnovany“.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200.000,00 Kč, a to uvolnění finančních prostředků z investičního fondu na financování realizace akce „Projektová dokumentace na vodovod a vodovodní přípojky Trnovany“.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- 200.000,00 Kč (IF)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739-2310-6121,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731     + 155.000,00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vodovod Trnovany)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739-2310-5166,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731     +  45.000,00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přípojky Trnovany).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250B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250B3" w:rsidRPr="006250B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a rozpočtové opatření na realizaci akce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„Úprava ceremoniálních ploch a okolí památníku"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zahájení výběrového řízení a výzvu k podání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 k veřejné zakázce malého rozsahu na stavební práce na zhotovitele stavby</w:t>
      </w:r>
      <w:r w:rsidR="0062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„Úprava ceremoniálních ploch a okolí památníku – Památník obětem 2. světové války z Českého Malína“.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 celkové výši 900.000,00 Kč, a to uvolnění finančních prostředků z investičního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na financování realizace akce „Úprava ceremoniálních ploch a okolí památníku –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Památník obětem 2. světové války z Českého Malína“.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- 900.000,00 Kč (IF)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  +  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(čištění a impregnace sochy)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  + 870.000,00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(povrchy, pěstební péče, mobiliář).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podání žádosti </w:t>
      </w:r>
    </w:p>
    <w:p w:rsidR="006250B3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dotaci z Fondu Ústeckého kraje – individuální dotace ve výši 200.000,00 Kč.</w:t>
      </w:r>
    </w:p>
    <w:p w:rsidR="006250B3" w:rsidRDefault="006250B3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6250B3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250B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250B3" w:rsidRPr="006250B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„STADION FK SLAVOJ, ŽATEC – VYBUDOVÁNÍ TRIBUNY A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ZASTŘEŠENÍ JEJÍ ČÁSTI“ – zrušení výběrového řízení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veřejné zakázky na stavbu: „STADION FK SLAVOJ, ŽATEC –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VYBUDOVÁNÍ TRIBUNY A ZASTŘEŠENÍ JEJÍ ČÁSTI“ - II. Výzva a dle Zásad a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postupů pro zadávání veřejných zakázek rozhodla o pořadí nabídek: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SWH STAVBY, s.r.o., IČO: 254 87 027, Lipská 4696, 430 01 Chomutov, 12.900.110,00 Kč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METALL QUATRO spol. s r.o., IČO: 615 38 213, č. p. 600, 431 59 Vysoká Pec,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13.612.357,00 Kč.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 3 účastníka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BAU-STAV a.s., IČO: 147 05 877, Loketská 344/12, 360 06 Karlovy Vary byla vyřazena ze zadávacího řízení pro nesplnění podmínek účasti v zadávacím řízení.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rozhodla o zrušení výše uvedeného zadávacího řízení bez odkladu v souladu s ustanovením § 127 odst. 2) písm. d) zákona č. 134/2016 Sb., o zadávání veřejných zakázek, v platném znění, z důvodu výrazného přesahu předpokládané hodnoty veřejné zakázky.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Osvětlení soch na Hošťálkově náměstí v Žatci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města zahájit realizaci investiční akce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rok 2019 – osvětlení soch před kostelem Nanebevzetí Panny Marie na Hošťálkově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 v Žatci.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250.000,00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zpracování projektové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a realizaci akce: „Osvětlení soch na Hošťálkově náměstí v Žatci“.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- 250.000,00 Kč (IF)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707       + 250.000,00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(osvětlení soch).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250B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250B3" w:rsidRPr="006250B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Dostavba bazénu pro děti ve věku 5 – 12 let na koupališti v Žatci –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450.000,00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financování projektové dokumentace akce: „Dostavba bazénu pro děti ve věku 5 – 12 let na koupališti v Žatci“.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- 450.000,00 Kč (IF)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783    + 450.000,00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(dostavba bazénu).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250B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250B3" w:rsidRPr="006250B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– zadání studií – „Využití objektu PDA č. p. 323 a 584, Žatec“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zadání studie objektů v majetku města – PDA č.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323 a č. p. 584: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Č. p. 323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Využití: pasáž s průchodem na náměstí Prokopa Velkého, komerční prostory, pivní lázně,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Vědecké a vzdělávací centrum „Věda na kouli“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p. 584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Využití: kavárna, salónek (navazuje na atrium – venkovní posezení), byty a ubytovací kapacity.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– zadání studie – „Objekt Jitřenka č. p. 1829, Žatec“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náplň studie „Objekt Jitřenka č. p. 1829, Žatec“ –</w:t>
      </w:r>
    </w:p>
    <w:p w:rsidR="006250B3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nového objektu loutkového divadla a rozšíření městského úřadu.</w:t>
      </w:r>
    </w:p>
    <w:p w:rsidR="006250B3" w:rsidRDefault="006250B3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6250B3" w:rsidP="00625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„Oprava a rekonstrukce komunikace na p. p.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č. 1205/1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na zhotovitele stavby „Oprava a rekonstrukce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komunikace na p. p. č. 1205/1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Žatce“.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členy hodnotící komise, která zároveň plní funkci komise pro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„Rekonstrukce ulice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Svatopluka Čecha, Žatec“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projektové dokumentace „Rekonstrukce ulice Svatopluka Čecha, Žatec“ a v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Zásadami a postupy pro zadávání veřejných zakázek Města Žatce rozhodla o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výběru nabídky s nejnižší nabídkovou cenou uchazeče MESSOR s.r.o.,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Švermy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11,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432 01 Kadaň, IČ: 28738217.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390.000,00 Kč – uvolnění finančních prostředků z investičního fondu na financování projektové dokumentace „Rekonstrukce ulice Svatopluka Čecha, Žatec“ v tomto znění: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- 390.000,00 Kč (IF)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630        + 390.000,00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Svatopluka Čecha).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250B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250B3" w:rsidRPr="006250B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1"/>
        <w:gridCol w:w="1392"/>
        <w:gridCol w:w="964"/>
        <w:gridCol w:w="959"/>
        <w:gridCol w:w="964"/>
        <w:gridCol w:w="959"/>
        <w:gridCol w:w="929"/>
        <w:gridCol w:w="1275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„Plánované opravy komunikací pro rok 2018, Žatec“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„Plánované opravy komunikací pro rok 2018, Žatec“ a zároveň</w:t>
      </w:r>
    </w:p>
    <w:p w:rsidR="005652C0" w:rsidRDefault="00E23A15" w:rsidP="005652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1 podepsat.</w:t>
      </w:r>
    </w:p>
    <w:p w:rsidR="005652C0" w:rsidRDefault="005652C0" w:rsidP="005652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15" w:rsidRDefault="005652C0" w:rsidP="005652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23A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23A15"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1"/>
        <w:gridCol w:w="1392"/>
        <w:gridCol w:w="964"/>
        <w:gridCol w:w="959"/>
        <w:gridCol w:w="964"/>
        <w:gridCol w:w="959"/>
        <w:gridCol w:w="929"/>
        <w:gridCol w:w="1275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170C56">
            <w:pPr>
              <w:spacing w:line="360" w:lineRule="auto"/>
            </w:pPr>
            <w:r>
              <w:t>nepřítomen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uvolnění finančních prostředků na zpracování PD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„Rekonstrukce ulice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331.000,00 Kč – uvolnění finančních prostředků z investičního fondu na zpracování projektové dokumentace „Rekonstrukce ulice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Žatci“ schválené usnesením č. 220/18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 w:rsidR="0062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„Investiční plán města Žatce na rok 2019“ v tomto znění: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- 331.000,00 Kč (IF)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631     + 331.000,00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250B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250B3" w:rsidRPr="006250B3">
        <w:rPr>
          <w:rFonts w:ascii="Times New Roman" w:hAnsi="Times New Roman" w:cs="Times New Roman"/>
          <w:color w:val="000000"/>
          <w:sz w:val="18"/>
          <w:szCs w:val="18"/>
        </w:rPr>
        <w:t>SEDLÁKO</w:t>
      </w:r>
      <w:r w:rsidR="006250B3">
        <w:rPr>
          <w:rFonts w:ascii="Times New Roman" w:hAnsi="Times New Roman" w:cs="Times New Roman"/>
          <w:color w:val="000000"/>
          <w:sz w:val="18"/>
          <w:szCs w:val="18"/>
        </w:rPr>
        <w:t>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1"/>
        <w:gridCol w:w="1392"/>
        <w:gridCol w:w="964"/>
        <w:gridCol w:w="959"/>
        <w:gridCol w:w="964"/>
        <w:gridCol w:w="959"/>
        <w:gridCol w:w="929"/>
        <w:gridCol w:w="1275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smlouvě budoucí o realizaci přeložky distribučního zařízení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určeného k dodávce elektrické energie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smlouvě budoucí o realizaci přeložky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distribučního zařízení určeného k dodávce elektrické energie č. Z_S14_12_8120069344 s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ČEZ Distribuce, a.s., IČ: 24729035.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č. 3 z jednání dopravní komise.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13/19 a ukládá odboru rozvoje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nechat zpracovat studii na vybudování parkovacích stání v prostoru stávajících U-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ramp.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dodavatele: „Revitalizace Hošťálkova náměstí v Žatci“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 dodavatele veřejné zakázky malého rozsahu: „Revitalizace Hošťálkova náměstí v Žatci“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dle Zásad a postupů pro zadávání veřejných zakázek rozhodla o pořadí nabídek: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ox.cz s.r.o., se sídlem Rybná 716/24, Staré Město, 110 00 Praha 1, 415.160,00 Kč (bez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DPH).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 a ukládá starostce města podepsat Kupní smlouvu s vybraným uchazečem.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170C56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6250B3" w:rsidRDefault="006250B3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navýšení mzdových prostředků správa, </w:t>
      </w:r>
    </w:p>
    <w:p w:rsidR="00E23A15" w:rsidRDefault="00E23A15" w:rsidP="00E23A1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funkcionáři</w:t>
      </w:r>
    </w:p>
    <w:p w:rsidR="00E23A15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schválit rozpočtové opatření v celkové výši 1.787.000,00 Kč, a to čerpání rezervního fondu na navýšení mzdových prostředků v návaznosti na nařízení vlády č. 263/2018 Sb.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 souvislosti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ZM č. 210/18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741-6171-5901                 - 1.787.000,00 Kč (RF)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5011                 </w:t>
      </w:r>
      <w:r w:rsidR="006250B3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HM)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5031                 + 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SP)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5032                 +   54.000,00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ZP)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5038                 +   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PÚP)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6171      + </w:t>
      </w:r>
      <w:r w:rsidR="0062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(SPRÁVA - SF 3 % HM)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5023                 +  700.000,00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HM)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5031                 +  175.000,00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SP)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5032                 +   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ZP)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5038                 +   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PÚP)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6112      +   21.000,00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(FUNKCIONÁŘI - SF 3 % HM).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zastupitelstva města,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17:30 hodin (mimo stálé body programu):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Předkupní právo na části pozemků p. p. č. 4515/41, p. p. č. 4515/42 a p. p. č. 4515/46 v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č. 6 Územního plánu Žatec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– p. p. č. 3767/11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Volba člena finančního výboru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Volba člena dozorčí rady Nemocnice Žatec, o.p.s.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Osadní výbory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Poskytnutí půjčky TJ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zřizovací listiny Základní školy a Mateřské školy, Žatec, Jižní 2777, okres Louny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zřizovací listiny Základní školy a Mateřské školy, Žatec, Dvořákova 24, okres Louny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31.03.2019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Poskytnutí dotace spolku Klub Letecké amatérské asociace CS v Žatci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Poskytnutí finančních příspěvků ostatním organizacím pro rok 2019 nad 50.000,00 Kč –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výchovu a vzdělávání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Poskytnutí dotace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Budík,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na realizaci akce „Úprava ceremoniálních ploch a okolí památníku –</w:t>
      </w:r>
      <w:r w:rsidR="0062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Památník obětem 2. světové války z Českého Malína“; podání žádosti o dotaci z Fondu </w:t>
      </w:r>
      <w:r w:rsidR="006250B3"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steckého kraje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Zásady pro prodej nemovitostí z majetku Města Žatce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st. p. č. 1244/3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23A15" w:rsidRDefault="006250B3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3A15">
        <w:rPr>
          <w:rFonts w:ascii="Times New Roman" w:hAnsi="Times New Roman" w:cs="Times New Roman"/>
          <w:color w:val="000000"/>
          <w:sz w:val="24"/>
          <w:szCs w:val="24"/>
        </w:rPr>
        <w:t xml:space="preserve"> Nabytí nemovitosti pozemku st. p. č. 1414, jehož součástí je stavba č. p. 1232 v k. </w:t>
      </w:r>
      <w:proofErr w:type="spellStart"/>
      <w:r w:rsidR="00E23A1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23A15"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23A15" w:rsidRDefault="00E23A15" w:rsidP="00E23A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navýšení mzdových prostředků správa, funkcionáři.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finanční příspěvek – PO Kamarád-LORM</w:t>
      </w:r>
    </w:p>
    <w:p w:rsidR="00E23A15" w:rsidRDefault="00E23A15" w:rsidP="006250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projednala, v souladu s ustanovením § 9, odst. 1, písm. i) zákona č. 250/2000 Sb., o rozpočtových pravidlech územních rozpočtů ve znění pozdějších předpisů, žádost ředitelky příspěvkové organizace Kamarád-LORM, Zeyerova 859, 438 01 Žatec a souhlasí s poskytnutím finančního příspěvku ve výši 21.815,00 Kč této organizaci na projekt „Šíříme filmovou tradici města Žatce“.</w:t>
      </w:r>
    </w:p>
    <w:p w:rsidR="00E23A15" w:rsidRDefault="00E23A15" w:rsidP="00E23A1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E23A15" w:rsidRDefault="00E23A15" w:rsidP="00E23A1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652C0" w:rsidRDefault="005652C0" w:rsidP="005652C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/</w:t>
            </w: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  <w:tr w:rsidR="005652C0" w:rsidTr="00E47E50">
        <w:tc>
          <w:tcPr>
            <w:tcW w:w="1219" w:type="dxa"/>
            <w:shd w:val="clear" w:color="auto" w:fill="auto"/>
          </w:tcPr>
          <w:p w:rsidR="005652C0" w:rsidRDefault="005652C0" w:rsidP="00E47E5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52C0" w:rsidRDefault="005652C0" w:rsidP="00E47E50">
            <w:pPr>
              <w:spacing w:line="360" w:lineRule="auto"/>
              <w:jc w:val="center"/>
            </w:pPr>
          </w:p>
        </w:tc>
      </w:tr>
    </w:tbl>
    <w:p w:rsidR="005652C0" w:rsidRPr="00582CF5" w:rsidRDefault="005652C0" w:rsidP="005652C0">
      <w:pPr>
        <w:spacing w:line="360" w:lineRule="auto"/>
      </w:pPr>
    </w:p>
    <w:p w:rsidR="00E23A15" w:rsidRDefault="00E23A15" w:rsidP="00E23A1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E23A15" w:rsidRDefault="00E23A15" w:rsidP="006250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C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DC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DC2CBE" w:rsidRDefault="00DC2CBE" w:rsidP="006250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CBE" w:rsidRDefault="00DC2CBE" w:rsidP="006250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CBE" w:rsidRDefault="00DC2CBE" w:rsidP="006250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BC2" w:rsidRDefault="00575BC2" w:rsidP="00575BC2">
      <w:pPr>
        <w:pStyle w:val="Nadpis1"/>
      </w:pPr>
      <w:r>
        <w:t>Za správnost vyhotovení: Pavlína Kloučková</w:t>
      </w:r>
    </w:p>
    <w:p w:rsidR="00575BC2" w:rsidRDefault="00575BC2" w:rsidP="00575BC2">
      <w:pPr>
        <w:jc w:val="both"/>
        <w:rPr>
          <w:sz w:val="24"/>
        </w:rPr>
      </w:pPr>
    </w:p>
    <w:p w:rsidR="00575BC2" w:rsidRDefault="00575BC2" w:rsidP="00575BC2">
      <w:pPr>
        <w:pStyle w:val="Zkladntext"/>
      </w:pPr>
      <w:bookmarkStart w:id="0" w:name="_GoBack"/>
      <w:bookmarkEnd w:id="0"/>
      <w:r>
        <w:t>Upravená verze dokumentu z důvodu dodržení přiměřenosti rozsahu zveřejňovaných osobních údajů podle zákona č. 101/2000 Sb., o ochraně osobních údajů v platném znění.</w:t>
      </w:r>
    </w:p>
    <w:sectPr w:rsidR="00575BC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50" w:rsidRDefault="00E47E50" w:rsidP="000471C7">
      <w:pPr>
        <w:spacing w:after="0" w:line="240" w:lineRule="auto"/>
      </w:pPr>
      <w:r>
        <w:separator/>
      </w:r>
    </w:p>
  </w:endnote>
  <w:endnote w:type="continuationSeparator" w:id="0">
    <w:p w:rsidR="00E47E50" w:rsidRDefault="00E47E50" w:rsidP="000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435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47E50" w:rsidRDefault="00E47E50" w:rsidP="000471C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7CC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7CC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7E50" w:rsidRDefault="00E47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50" w:rsidRDefault="00E47E50" w:rsidP="000471C7">
      <w:pPr>
        <w:spacing w:after="0" w:line="240" w:lineRule="auto"/>
      </w:pPr>
      <w:r>
        <w:separator/>
      </w:r>
    </w:p>
  </w:footnote>
  <w:footnote w:type="continuationSeparator" w:id="0">
    <w:p w:rsidR="00E47E50" w:rsidRDefault="00E47E50" w:rsidP="0004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5"/>
    <w:rsid w:val="000471C7"/>
    <w:rsid w:val="00170C56"/>
    <w:rsid w:val="00245763"/>
    <w:rsid w:val="003A33BE"/>
    <w:rsid w:val="004817CC"/>
    <w:rsid w:val="005652C0"/>
    <w:rsid w:val="00575BC2"/>
    <w:rsid w:val="005806CF"/>
    <w:rsid w:val="006250B3"/>
    <w:rsid w:val="00B94634"/>
    <w:rsid w:val="00BE3B8F"/>
    <w:rsid w:val="00CE6BC3"/>
    <w:rsid w:val="00DC2CBE"/>
    <w:rsid w:val="00E23A15"/>
    <w:rsid w:val="00E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5B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1C7"/>
  </w:style>
  <w:style w:type="paragraph" w:styleId="Zpat">
    <w:name w:val="footer"/>
    <w:basedOn w:val="Normln"/>
    <w:link w:val="ZpatChar"/>
    <w:uiPriority w:val="99"/>
    <w:unhideWhenUsed/>
    <w:rsid w:val="0004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1C7"/>
  </w:style>
  <w:style w:type="paragraph" w:customStyle="1" w:styleId="standard">
    <w:name w:val="standard"/>
    <w:link w:val="standardChar"/>
    <w:rsid w:val="00BE3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BE3B8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75BC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75BC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75BC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5B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1C7"/>
  </w:style>
  <w:style w:type="paragraph" w:styleId="Zpat">
    <w:name w:val="footer"/>
    <w:basedOn w:val="Normln"/>
    <w:link w:val="ZpatChar"/>
    <w:uiPriority w:val="99"/>
    <w:unhideWhenUsed/>
    <w:rsid w:val="0004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1C7"/>
  </w:style>
  <w:style w:type="paragraph" w:customStyle="1" w:styleId="standard">
    <w:name w:val="standard"/>
    <w:link w:val="standardChar"/>
    <w:rsid w:val="00BE3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BE3B8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75BC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75BC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75BC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3650-C502-4931-8C70-E26685F8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8987</Words>
  <Characters>48353</Characters>
  <Application>Microsoft Office Word</Application>
  <DocSecurity>0</DocSecurity>
  <Lines>402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2019-04-16T07:25:00Z</cp:lastPrinted>
  <dcterms:created xsi:type="dcterms:W3CDTF">2019-04-16T07:11:00Z</dcterms:created>
  <dcterms:modified xsi:type="dcterms:W3CDTF">2019-04-16T07:26:00Z</dcterms:modified>
</cp:coreProperties>
</file>