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9A" w:rsidRDefault="00D74B33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95479A" w:rsidRDefault="00805A36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36110A" wp14:editId="01388F9E">
            <wp:simplePos x="0" y="0"/>
            <wp:positionH relativeFrom="column">
              <wp:posOffset>2292985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B33">
        <w:rPr>
          <w:rFonts w:ascii="Arial" w:hAnsi="Arial" w:cs="Arial"/>
          <w:sz w:val="24"/>
          <w:szCs w:val="24"/>
        </w:rPr>
        <w:tab/>
      </w:r>
      <w:r w:rsidR="00D74B33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95479A" w:rsidRDefault="00D74B33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</w:t>
      </w:r>
      <w:r w:rsidR="00805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95479A" w:rsidRDefault="00D74B33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23.3.2020</w:t>
      </w:r>
      <w:proofErr w:type="gramEnd"/>
    </w:p>
    <w:p w:rsidR="0095479A" w:rsidRDefault="00D74B33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190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208 /20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6 – st. p. č. 586/3, </w:t>
      </w:r>
    </w:p>
    <w:p w:rsidR="0095479A" w:rsidRDefault="00D74B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586/1, 583/2, 585 a 586/6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Městské lesy Žatec, p. o. – poskytnutí příspěvku zřizovatele pro rok 2020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nebytového prostoru v č. p. 1043 ul. Chomutovská v Žatci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3. jednání komise pro výstavbu a regeneraci MPR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 regenerace Města Žatce na rok 2020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opatření – následná pěstební péče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uvolnění finančních prostředků na vybudování </w:t>
      </w:r>
    </w:p>
    <w:p w:rsidR="0095479A" w:rsidRDefault="00D74B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kontejnerových stání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projektové dokumentace „Vybudování kanalizace v obci </w:t>
      </w:r>
    </w:p>
    <w:p w:rsidR="0095479A" w:rsidRDefault="00D74B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Bezděkov“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„Vybudování parkoviště v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Žatec“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„Oprava povrchů v ul. Klášterní, Žatec – 1. </w:t>
      </w:r>
    </w:p>
    <w:p w:rsidR="0095479A" w:rsidRDefault="00D74B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etapa“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„Rekonstrukce ulice Politických vězňů, Žatec – </w:t>
      </w:r>
    </w:p>
    <w:p w:rsidR="0095479A" w:rsidRDefault="00D74B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 etapa“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„Oprava povrchu komunikace na ul. </w:t>
      </w:r>
    </w:p>
    <w:p w:rsidR="0095479A" w:rsidRDefault="00D74B3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Svatováclavská, Žatec“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krizové řízení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Pravidla provozu telefonické linky pro seniory v rámci krizového opatření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zastavení exekuce č. j. 120 EX 4627/08</w:t>
      </w:r>
    </w:p>
    <w:p w:rsidR="0095479A" w:rsidRDefault="00D74B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A36" w:rsidRDefault="00805A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805A36" w:rsidRDefault="00C44FB3" w:rsidP="00805A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C44FB3" w:rsidRDefault="00805A36" w:rsidP="00805A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44F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4FB3">
        <w:rPr>
          <w:rFonts w:ascii="Times New Roman" w:hAnsi="Times New Roman" w:cs="Times New Roman"/>
          <w:color w:val="000000"/>
          <w:sz w:val="20"/>
          <w:szCs w:val="20"/>
        </w:rPr>
        <w:t>23.3.2020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a dále Rada města Žatce schvaluje úpravu textu části usnesení č. 188/20 Lhůta splatnosti pro uhrazení pravidelných poplatků či jiných (zejména smluvních) úhrad městu,</w:t>
      </w:r>
      <w:r w:rsidR="00805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to tak, že v původním textu usnesení se doplní text: vyjma nájmů za byty.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 po opravě: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188/20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Lhůta splatnosti pro uhrazení pravidelných poplatků či jiných (zejména smluvních) úhrad městu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návaznosti na Usnesení Vlády České republiky č. 217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přijetí krizového opatření rozhodla, že lhůta splatnosti stanovená do 30.03.2020 nebo </w:t>
      </w:r>
      <w:r w:rsidR="00805A3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1.04.2020 pro uhrazení pravidelných poplatků či jiných (zejména smluvních, vyjma nájmů za byty) úhrad městu Žatec se prodlužuje do 30.06.2020 bez následků z prodlení.</w:t>
      </w:r>
    </w:p>
    <w:p w:rsidR="00C44FB3" w:rsidRDefault="00C44FB3" w:rsidP="00C44F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23.3.2020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6 – st. p. č. 586/3, </w:t>
      </w:r>
    </w:p>
    <w:p w:rsidR="00C44FB3" w:rsidRDefault="00C44FB3" w:rsidP="00C44F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586/1, 583/2, 585 a 586/6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C44FB3" w:rsidRDefault="00C44FB3" w:rsidP="00805A3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po změně č. 6 – změna využití pozemků st. p. č. 586/3, 586/1, 583/2, 585 a 586/6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pro posouzení žádosti Zastupitelstvem města Žatce.</w:t>
      </w:r>
    </w:p>
    <w:p w:rsidR="00C44FB3" w:rsidRDefault="00C44FB3" w:rsidP="00C44F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2.4.2020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FD2CF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C44FB3" w:rsidRDefault="00C44FB3" w:rsidP="00805A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B30DA4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703 v DPS Písečná 2820) na dobu tří let v souladu s platnými Pravidly pro přidělování bytů v DPS.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B30DA4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108 v DPS Písečná 2820) na dobu tří let v souladu s platnými Pravidly pro přidělování bytů v DPS.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B30DA4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905 v DPS Písečná 2820) na dobu tří let v souladu s platnými Pravidly pro přidělování bytů v DPS.</w:t>
      </w:r>
    </w:p>
    <w:p w:rsidR="00C44FB3" w:rsidRDefault="00C44FB3" w:rsidP="00C44F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6.4.2020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Městské lesy Žatec, p. o. – poskytnutí příspěvku zřizovatele pro rok 2020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dle § 28, odst. 7 zákona č. 250/2000 Sb. „o rozpočtových 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rozpočtů“, ve znění pozdějších předpisů, doporučuje Zastupitelstvu 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schválit poskytnutí příspěvku pro rok 2020 na provoz příspěvkové organizaci Městské lesy Žatec, p. o. a zároveň doporučuje schválit rozpočtové opatření na uvolnění finančních prostředků z rezervního fondu ve výši 807.000,00 Kč.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- 807.000,00 Kč (RF)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709-1036-5331,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511     + 807.000,00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(příspěvek PO Městské lesy).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 schválení provozního příspěvku zřizovatele Zastupitelstvem města Žatce na rok 2020 schvaluje Rada města Žatce příspěvkové organizaci Městské lesy Žatec, p. o. změnu závazných ukazatelů: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mzdy: 0,00 Kč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Příspěvek na provoz: 807.000,00 Kč. 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C44FB3" w:rsidRDefault="00C44FB3" w:rsidP="00C44F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2.4.2020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nebytového prostoru v č. p. 1043 ul. Chomutovská v Žatci</w:t>
      </w:r>
    </w:p>
    <w:p w:rsidR="00C44FB3" w:rsidRDefault="00C44FB3" w:rsidP="00805A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o ploše 23 m2, umístěného v budově č. p. 1043 ul. Chomutovská v Žatci, umístěné na pozemku zastavěná plocha a nádvoří st. p. č. 1191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r w:rsidR="00B30DA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za účelem uskladnění movitých věcí, na dobu neurčitou s dvouměsíční výpovědní dobou, za měsíční nájemné 1.100,00 Kč s podmínkou zaplacení peněžité jistoty ve výši dvou měsíčních nájmů.</w:t>
      </w:r>
    </w:p>
    <w:p w:rsidR="00C44FB3" w:rsidRDefault="00C44FB3" w:rsidP="00C44F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3. jednání komise pro výstavbu a regeneraci MPR</w:t>
      </w:r>
    </w:p>
    <w:p w:rsidR="00C44FB3" w:rsidRDefault="00805A36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C44FB3">
        <w:rPr>
          <w:rFonts w:ascii="Times New Roman" w:hAnsi="Times New Roman" w:cs="Times New Roman"/>
          <w:color w:val="000000"/>
          <w:sz w:val="24"/>
          <w:szCs w:val="24"/>
        </w:rPr>
        <w:t xml:space="preserve">da města Žatce projednala a bere na vědomí zápis z 3. jednání komise pro výstavbu a </w:t>
      </w:r>
    </w:p>
    <w:p w:rsidR="00805A36" w:rsidRDefault="00C44FB3" w:rsidP="00805A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regeneraci MPR, konané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A36" w:rsidRDefault="00805A36" w:rsidP="00805A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805A36" w:rsidP="00805A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4F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44F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4FB3">
        <w:rPr>
          <w:rFonts w:ascii="Times New Roman" w:hAnsi="Times New Roman" w:cs="Times New Roman"/>
          <w:color w:val="000000"/>
          <w:sz w:val="20"/>
          <w:szCs w:val="20"/>
        </w:rPr>
        <w:t>23.3.2020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 regenerace Města Žatce na rok 2020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rozdělení finančních 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Fondu regenerace Města Žatce na rok 2020 dle předloženého návrhu: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Fond regenerace Města Žatce – rok 2020</w:t>
      </w:r>
    </w:p>
    <w:p w:rsidR="008F0766" w:rsidRDefault="008F0766" w:rsidP="008F0766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</w:p>
    <w:tbl>
      <w:tblPr>
        <w:tblW w:w="961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3544"/>
        <w:gridCol w:w="1316"/>
        <w:gridCol w:w="1458"/>
        <w:gridCol w:w="1459"/>
      </w:tblGrid>
      <w:tr w:rsidR="008F0766" w:rsidRPr="0016338C" w:rsidTr="00E931BA">
        <w:trPr>
          <w:trHeight w:val="1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66" w:rsidRPr="0016338C" w:rsidRDefault="008F0766" w:rsidP="00E931B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16338C">
              <w:rPr>
                <w:b/>
                <w:bCs/>
                <w:color w:val="000000"/>
                <w:sz w:val="21"/>
                <w:szCs w:val="21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.</w:t>
            </w:r>
            <w:r w:rsidRPr="0016338C">
              <w:rPr>
                <w:b/>
                <w:bCs/>
                <w:color w:val="000000"/>
                <w:sz w:val="21"/>
                <w:szCs w:val="21"/>
              </w:rPr>
              <w:t xml:space="preserve"> č.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66" w:rsidRPr="0016338C" w:rsidRDefault="008F0766" w:rsidP="00E931B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Nemovitost č.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16338C">
              <w:rPr>
                <w:b/>
                <w:bCs/>
                <w:color w:val="000000"/>
                <w:sz w:val="21"/>
                <w:szCs w:val="21"/>
              </w:rPr>
              <w:t>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66" w:rsidRPr="0016338C" w:rsidRDefault="008F0766" w:rsidP="00E931B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Akce obnovy (popis prací)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66" w:rsidRPr="0016338C" w:rsidRDefault="008F0766" w:rsidP="00E931B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Skutečné celkové náklady na památkové práce v roce 20</w:t>
            </w:r>
            <w:r>
              <w:rPr>
                <w:b/>
                <w:bCs/>
                <w:color w:val="000000"/>
                <w:sz w:val="21"/>
                <w:szCs w:val="21"/>
              </w:rPr>
              <w:t>20</w:t>
            </w:r>
            <w:r w:rsidRPr="0016338C">
              <w:rPr>
                <w:b/>
                <w:bCs/>
                <w:color w:val="000000"/>
                <w:sz w:val="21"/>
                <w:szCs w:val="21"/>
              </w:rPr>
              <w:t xml:space="preserve"> v Kč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66" w:rsidRPr="0016338C" w:rsidRDefault="008F0766" w:rsidP="00E931B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 xml:space="preserve">Příspěvek města v Kč </w:t>
            </w:r>
            <w:r>
              <w:rPr>
                <w:b/>
                <w:bCs/>
                <w:color w:val="000000"/>
                <w:sz w:val="21"/>
                <w:szCs w:val="21"/>
              </w:rPr>
              <w:t>–</w:t>
            </w:r>
            <w:r w:rsidRPr="0016338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16338C">
              <w:rPr>
                <w:b/>
                <w:bCs/>
                <w:color w:val="000000"/>
                <w:sz w:val="21"/>
                <w:szCs w:val="21"/>
              </w:rPr>
              <w:t xml:space="preserve">3 %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– na </w:t>
            </w:r>
            <w:r w:rsidRPr="0016338C">
              <w:rPr>
                <w:b/>
                <w:bCs/>
                <w:color w:val="000000"/>
                <w:sz w:val="21"/>
                <w:szCs w:val="21"/>
              </w:rPr>
              <w:t>celé tisíce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dolů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66" w:rsidRPr="0016338C" w:rsidRDefault="008F0766" w:rsidP="00E931B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6338C">
              <w:rPr>
                <w:b/>
                <w:bCs/>
                <w:color w:val="000000"/>
                <w:sz w:val="21"/>
                <w:szCs w:val="21"/>
              </w:rPr>
              <w:t>Podíl vlastníka v Kč</w:t>
            </w:r>
          </w:p>
        </w:tc>
      </w:tr>
      <w:tr w:rsidR="008F0766" w:rsidRPr="0016338C" w:rsidTr="00E931BA">
        <w:trPr>
          <w:trHeight w:val="7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66" w:rsidRPr="0083688A" w:rsidRDefault="008F0766" w:rsidP="00E931BA">
            <w:pPr>
              <w:rPr>
                <w:bCs/>
                <w:color w:val="000000"/>
                <w:sz w:val="21"/>
                <w:szCs w:val="21"/>
              </w:rPr>
            </w:pPr>
            <w:r w:rsidRPr="0083688A">
              <w:rPr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83688A" w:rsidRDefault="008F0766" w:rsidP="00E931BA">
            <w:pPr>
              <w:rPr>
                <w:color w:val="000000"/>
              </w:rPr>
            </w:pPr>
            <w:r w:rsidRPr="0083688A">
              <w:rPr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rPr>
                <w:color w:val="000000"/>
              </w:rPr>
            </w:pPr>
            <w:r w:rsidRPr="0016338C">
              <w:rPr>
                <w:color w:val="000000"/>
              </w:rPr>
              <w:t>Výměna střešní krytiny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561.245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241.000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320.245</w:t>
            </w:r>
          </w:p>
        </w:tc>
      </w:tr>
      <w:tr w:rsidR="008F0766" w:rsidRPr="0016338C" w:rsidTr="00E931BA">
        <w:trPr>
          <w:trHeight w:val="6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66" w:rsidRPr="0083688A" w:rsidRDefault="008F0766" w:rsidP="00E931BA">
            <w:pPr>
              <w:rPr>
                <w:bCs/>
                <w:color w:val="000000"/>
                <w:sz w:val="21"/>
                <w:szCs w:val="21"/>
              </w:rPr>
            </w:pPr>
            <w:r w:rsidRPr="0083688A">
              <w:rPr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83688A" w:rsidRDefault="008F0766" w:rsidP="00E931BA">
            <w:pPr>
              <w:rPr>
                <w:color w:val="000000"/>
              </w:rPr>
            </w:pPr>
            <w:r w:rsidRPr="0083688A">
              <w:rPr>
                <w:color w:val="000000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rPr>
                <w:color w:val="000000"/>
              </w:rPr>
            </w:pPr>
            <w:r>
              <w:rPr>
                <w:color w:val="000000"/>
              </w:rPr>
              <w:t>Oprava krovu, výměna střešní krytiny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1.587.199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682.000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905.199</w:t>
            </w:r>
          </w:p>
        </w:tc>
      </w:tr>
      <w:tr w:rsidR="008F0766" w:rsidRPr="0016338C" w:rsidTr="00E931BA">
        <w:trPr>
          <w:trHeight w:val="6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66" w:rsidRPr="0083688A" w:rsidRDefault="008F0766" w:rsidP="00E931BA">
            <w:pPr>
              <w:rPr>
                <w:bCs/>
                <w:color w:val="000000"/>
                <w:sz w:val="21"/>
                <w:szCs w:val="21"/>
              </w:rPr>
            </w:pPr>
            <w:r w:rsidRPr="0083688A">
              <w:rPr>
                <w:bCs/>
                <w:color w:val="000000"/>
                <w:sz w:val="21"/>
                <w:szCs w:val="21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0766" w:rsidRPr="0083688A" w:rsidRDefault="008F0766" w:rsidP="00E931BA">
            <w:pPr>
              <w:rPr>
                <w:color w:val="000000"/>
              </w:rPr>
            </w:pPr>
            <w:r w:rsidRPr="0083688A">
              <w:rPr>
                <w:color w:val="000000"/>
              </w:rPr>
              <w:t>243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rPr>
                <w:color w:val="000000"/>
              </w:rPr>
            </w:pPr>
            <w:r>
              <w:rPr>
                <w:color w:val="000000"/>
              </w:rPr>
              <w:t>Výměna výkladců a dveří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133.202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57.000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76.202</w:t>
            </w:r>
          </w:p>
        </w:tc>
      </w:tr>
      <w:tr w:rsidR="008F0766" w:rsidRPr="0016338C" w:rsidTr="00E931BA">
        <w:trPr>
          <w:trHeight w:val="6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66" w:rsidRPr="0083688A" w:rsidRDefault="008F0766" w:rsidP="00E931BA">
            <w:pPr>
              <w:rPr>
                <w:bCs/>
                <w:color w:val="000000"/>
                <w:sz w:val="21"/>
                <w:szCs w:val="21"/>
              </w:rPr>
            </w:pPr>
            <w:r w:rsidRPr="0083688A">
              <w:rPr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83688A" w:rsidRDefault="008F0766" w:rsidP="00E931BA">
            <w:pPr>
              <w:rPr>
                <w:color w:val="000000"/>
              </w:rPr>
            </w:pPr>
            <w:r w:rsidRPr="0083688A">
              <w:rPr>
                <w:color w:val="000000"/>
              </w:rPr>
              <w:t>311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rPr>
                <w:color w:val="000000"/>
              </w:rPr>
            </w:pPr>
            <w:r>
              <w:rPr>
                <w:color w:val="000000"/>
              </w:rPr>
              <w:t>Výměna střešní krytiny (část č. 4)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432.567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186.000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246.567</w:t>
            </w:r>
          </w:p>
        </w:tc>
      </w:tr>
      <w:tr w:rsidR="008F0766" w:rsidRPr="0016338C" w:rsidTr="00E931BA">
        <w:trPr>
          <w:trHeight w:val="9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66" w:rsidRPr="0083688A" w:rsidRDefault="008F0766" w:rsidP="00E931BA">
            <w:pPr>
              <w:rPr>
                <w:bCs/>
                <w:color w:val="000000"/>
              </w:rPr>
            </w:pPr>
            <w:r w:rsidRPr="0083688A">
              <w:rPr>
                <w:bCs/>
                <w:color w:val="000000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83688A" w:rsidRDefault="008F0766" w:rsidP="00E931BA">
            <w:pPr>
              <w:rPr>
                <w:color w:val="000000"/>
              </w:rPr>
            </w:pPr>
            <w:r w:rsidRPr="0083688A">
              <w:rPr>
                <w:color w:val="000000"/>
              </w:rPr>
              <w:t>353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66" w:rsidRPr="0016338C" w:rsidRDefault="008F0766" w:rsidP="00E931BA">
            <w:pPr>
              <w:rPr>
                <w:color w:val="000000"/>
              </w:rPr>
            </w:pPr>
            <w:r>
              <w:rPr>
                <w:color w:val="000000"/>
              </w:rPr>
              <w:t>Oprava fasády, výměna oken, pavlače, dveří, oprava balkonů ve dvorním traktu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1.692.407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965.407</w:t>
            </w:r>
          </w:p>
        </w:tc>
      </w:tr>
      <w:tr w:rsidR="008F0766" w:rsidRPr="0016338C" w:rsidTr="00E931BA">
        <w:trPr>
          <w:trHeight w:val="7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66" w:rsidRPr="0083688A" w:rsidRDefault="008F0766" w:rsidP="00E931BA">
            <w:pPr>
              <w:rPr>
                <w:bCs/>
                <w:color w:val="000000"/>
              </w:rPr>
            </w:pPr>
            <w:r w:rsidRPr="0083688A">
              <w:rPr>
                <w:bCs/>
                <w:color w:val="000000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83688A" w:rsidRDefault="008F0766" w:rsidP="00E931BA">
            <w:pPr>
              <w:rPr>
                <w:color w:val="000000"/>
              </w:rPr>
            </w:pPr>
            <w:r w:rsidRPr="0083688A">
              <w:rPr>
                <w:color w:val="00000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66" w:rsidRPr="0016338C" w:rsidRDefault="008F0766" w:rsidP="00E931BA">
            <w:pPr>
              <w:rPr>
                <w:color w:val="000000"/>
              </w:rPr>
            </w:pPr>
            <w:r>
              <w:rPr>
                <w:color w:val="000000"/>
              </w:rPr>
              <w:t>Výměna střešní krytiny, oprava krovů, výměna oken a dveří v 1. patře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1.213.876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521.000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692.876</w:t>
            </w:r>
          </w:p>
        </w:tc>
      </w:tr>
      <w:tr w:rsidR="008F0766" w:rsidRPr="0016338C" w:rsidTr="00E931BA">
        <w:trPr>
          <w:trHeight w:val="5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66" w:rsidRPr="0083688A" w:rsidRDefault="008F0766" w:rsidP="00E931BA">
            <w:pPr>
              <w:rPr>
                <w:bCs/>
                <w:color w:val="000000"/>
              </w:rPr>
            </w:pPr>
            <w:r w:rsidRPr="0083688A">
              <w:rPr>
                <w:bCs/>
                <w:color w:val="000000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83688A" w:rsidRDefault="008F0766" w:rsidP="00E931BA">
            <w:pPr>
              <w:rPr>
                <w:color w:val="000000"/>
              </w:rPr>
            </w:pPr>
            <w:r w:rsidRPr="0083688A">
              <w:rPr>
                <w:color w:val="000000"/>
              </w:rPr>
              <w:t>753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rPr>
                <w:color w:val="000000"/>
              </w:rPr>
            </w:pPr>
            <w:r>
              <w:rPr>
                <w:color w:val="000000"/>
              </w:rPr>
              <w:t>Výměna výplní otvorů, vjezdová vrata, vchodová vrata, 2x vstupní vrata, historické kování, zednické a začišťovací práce, montážní práce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666.460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286.000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380.460</w:t>
            </w:r>
          </w:p>
        </w:tc>
      </w:tr>
      <w:tr w:rsidR="008F0766" w:rsidRPr="0016338C" w:rsidTr="00E931BA">
        <w:trPr>
          <w:trHeight w:val="6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66" w:rsidRPr="0083688A" w:rsidRDefault="008F0766" w:rsidP="00E931BA">
            <w:pPr>
              <w:rPr>
                <w:bCs/>
                <w:color w:val="000000"/>
              </w:rPr>
            </w:pPr>
            <w:r w:rsidRPr="0083688A">
              <w:rPr>
                <w:bCs/>
                <w:color w:val="000000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83688A" w:rsidRDefault="008F0766" w:rsidP="00E931BA">
            <w:pPr>
              <w:rPr>
                <w:color w:val="000000"/>
              </w:rPr>
            </w:pPr>
            <w:r w:rsidRPr="0083688A">
              <w:rPr>
                <w:color w:val="000000"/>
              </w:rPr>
              <w:t>883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rPr>
                <w:color w:val="000000"/>
              </w:rPr>
            </w:pPr>
            <w:r>
              <w:rPr>
                <w:color w:val="000000"/>
              </w:rPr>
              <w:t>Výměna, oprava oken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308.180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132.000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176.180</w:t>
            </w:r>
          </w:p>
        </w:tc>
      </w:tr>
      <w:tr w:rsidR="008F0766" w:rsidRPr="0016338C" w:rsidTr="00E931BA">
        <w:trPr>
          <w:trHeight w:val="5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66" w:rsidRPr="0083688A" w:rsidRDefault="008F0766" w:rsidP="00E931BA">
            <w:pPr>
              <w:rPr>
                <w:bCs/>
                <w:color w:val="000000"/>
              </w:rPr>
            </w:pPr>
            <w:r w:rsidRPr="0083688A">
              <w:rPr>
                <w:bCs/>
                <w:color w:val="000000"/>
              </w:rP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83688A" w:rsidRDefault="008F0766" w:rsidP="00E931BA">
            <w:pPr>
              <w:rPr>
                <w:color w:val="000000"/>
              </w:rPr>
            </w:pPr>
            <w:r w:rsidRPr="0083688A">
              <w:rPr>
                <w:color w:val="000000"/>
              </w:rPr>
              <w:t>1257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rPr>
                <w:color w:val="000000"/>
              </w:rPr>
            </w:pPr>
            <w:r>
              <w:rPr>
                <w:color w:val="000000"/>
              </w:rPr>
              <w:t>Výměna dřevěných dvoukřídlých vrat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40.306</w:t>
            </w:r>
          </w:p>
        </w:tc>
      </w:tr>
      <w:tr w:rsidR="008F0766" w:rsidRPr="0016338C" w:rsidTr="00E931BA">
        <w:trPr>
          <w:trHeight w:val="5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66" w:rsidRPr="0083688A" w:rsidRDefault="008F0766" w:rsidP="00E931BA">
            <w:pPr>
              <w:rPr>
                <w:bCs/>
                <w:color w:val="000000"/>
              </w:rPr>
            </w:pPr>
            <w:r w:rsidRPr="0083688A">
              <w:rPr>
                <w:bCs/>
                <w:color w:val="000000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83688A" w:rsidRDefault="008F0766" w:rsidP="00E931BA">
            <w:pPr>
              <w:rPr>
                <w:color w:val="000000"/>
              </w:rPr>
            </w:pPr>
            <w:r w:rsidRPr="0083688A">
              <w:rPr>
                <w:color w:val="000000"/>
              </w:rPr>
              <w:t>1456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rPr>
                <w:color w:val="000000"/>
              </w:rPr>
            </w:pPr>
            <w:r>
              <w:rPr>
                <w:color w:val="000000"/>
              </w:rPr>
              <w:t>Výměna střešní krytiny, oprava krovů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1.110.560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477.000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633.560</w:t>
            </w:r>
          </w:p>
        </w:tc>
      </w:tr>
      <w:tr w:rsidR="008F0766" w:rsidRPr="0016338C" w:rsidTr="00E931BA">
        <w:trPr>
          <w:trHeight w:val="438"/>
        </w:trPr>
        <w:tc>
          <w:tcPr>
            <w:tcW w:w="53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0766" w:rsidRPr="0016338C" w:rsidRDefault="008F0766" w:rsidP="00E931BA">
            <w:pPr>
              <w:rPr>
                <w:b/>
                <w:bCs/>
                <w:color w:val="000000"/>
              </w:rPr>
            </w:pPr>
            <w:r w:rsidRPr="0016338C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7.775.002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3.338.000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F0766" w:rsidRPr="0016338C" w:rsidRDefault="008F0766" w:rsidP="00E931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4.437.002</w:t>
            </w:r>
          </w:p>
        </w:tc>
      </w:tr>
    </w:tbl>
    <w:p w:rsidR="00C44FB3" w:rsidRDefault="00C44FB3" w:rsidP="00C44F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2.4.2020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opatření – následná pěstební péče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rozpočtová opatření v celkové výši 84.000,00 Kč 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přesun finančních prostředků v rámci schváleného rozpočtu z kap. 710 – komunikace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kap. 739 – údržba zeleně v tomto znění: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648     - 21.000,00 Kč (Nerudovo náměstí)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652     - 63.000,00 Kč (ul. Nákladní)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739-3745-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     + 84.000,00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(údržba zeleně).</w:t>
      </w:r>
    </w:p>
    <w:p w:rsidR="00C44FB3" w:rsidRDefault="00C44FB3" w:rsidP="00C44F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uvolnění finančních prostředků na vybudování </w:t>
      </w:r>
    </w:p>
    <w:p w:rsidR="00C44FB3" w:rsidRDefault="00C44FB3" w:rsidP="00C44F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kontejnerových stání</w:t>
      </w:r>
    </w:p>
    <w:p w:rsidR="00C44FB3" w:rsidRDefault="00C44FB3" w:rsidP="008F076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800.000,00 Kč – uvolnění finančních prostředků z investičního fondu na financování vybudování kontejnerových stání v Žatci, schválených usnesením č. 229/19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„Investiční plán města Žatce na rok 2020“ v tomto znění: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- 800.000,00 Kč (IF)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6121       + 800.000,00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(kontejnerová stání).</w:t>
      </w:r>
    </w:p>
    <w:p w:rsidR="00C44FB3" w:rsidRDefault="00C44FB3" w:rsidP="00C44F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projektové dokumentace „Vybudování kanalizace v </w:t>
      </w:r>
    </w:p>
    <w:p w:rsidR="00C44FB3" w:rsidRDefault="00C44FB3" w:rsidP="00C44F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obci Bezděkov“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zhotovitele projektové dokumentace „Vybudování kanalizace v obci Bezděkov“ a v souladu se Zásadami a postupy pro zadávání veřejných zakázek Města Žatce rozhodla o výběru nabídky s nejnižší nabídkovou cenou uchazeče pana Romana Hladíka, Sídliště Míru 752, 441 01 Podbořany, IČ: 44538723.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ukládá starostce města Žatce podepsat Smlouvu o dílo s vítězným uchazečem.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500.000,00 Kč – uvolnění finančních prostředků z investičního fondu na dofinancování projektové dokumentace „Vybudování kanalizace v obci Bezděkov“ v tomto znění: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- 500.000,00 Kč (IF)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739-2321-6121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684    + 500.000,00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– odkanalizování Bezděkova).</w:t>
      </w:r>
    </w:p>
    <w:p w:rsidR="00C44FB3" w:rsidRDefault="00C44FB3" w:rsidP="00C44F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9.4.2020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8F0766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8F0766">
        <w:rPr>
          <w:rFonts w:ascii="Arial" w:hAnsi="Arial" w:cs="Arial"/>
          <w:sz w:val="18"/>
          <w:szCs w:val="18"/>
        </w:rPr>
        <w:tab/>
      </w:r>
      <w:r w:rsidRPr="008F0766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8F0766" w:rsidRPr="008F0766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„Vybudování parkoviště v ul.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C44FB3" w:rsidRDefault="00C44FB3" w:rsidP="00C44F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„Vybudování parkoviště v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Žatec“ a v souladu se zněním zákona č. 134/2016 Sb., o zadávání veřejných rozhodla o výběru nabídky s nejnižší nabídkovou cenou uchazeče ERKA Žatec s.r.o., Lounská 3022, 438 01 Žatec, IČ: 27326764.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výsledek hodnocení a posouzení nabídek stanovené hodnotící komisí.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uchazečem.</w:t>
      </w:r>
    </w:p>
    <w:p w:rsidR="00C44FB3" w:rsidRDefault="00C44FB3" w:rsidP="00C44F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9.4.2020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„Oprava povrchů v ul. Klášterní, Žatec – 1. </w:t>
      </w:r>
    </w:p>
    <w:p w:rsidR="00C44FB3" w:rsidRDefault="00C44FB3" w:rsidP="00C44F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etapa“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zhotovitele stavby „Oprava povrchů v ul. Klášterní, Žatec – 1. etapa“ a v souladu se zněním zákona č. 134/2016 Sb., o zadávání veřejných rozhodla o výběru nabídky s nejnižší nabídkovou cenou uchazeče EKOSTAVBY Louny s.r.o., se sídlem: Václava Majera 573, 44001 Louny, IČO: 10442481.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1.000.000,00 Kč – uvolnění finančních prostředků z investičního fondu na dofinancování akce „Oprava povrchů v ul. Klášterní, Žatec – 1. etapa“: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- 1.000.000,00 Kč (IF)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705         + 1.000.000,00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Klášterní).</w:t>
      </w:r>
    </w:p>
    <w:p w:rsidR="00C44FB3" w:rsidRDefault="00C44FB3" w:rsidP="00C44F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9.4.2020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8F0766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8F0766">
        <w:rPr>
          <w:rFonts w:ascii="Arial" w:hAnsi="Arial" w:cs="Arial"/>
          <w:sz w:val="18"/>
          <w:szCs w:val="18"/>
        </w:rPr>
        <w:tab/>
      </w:r>
      <w:r w:rsidRPr="008F0766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8F0766" w:rsidRPr="008F0766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„Rekonstrukce ulice Politických vězňů, Žatec </w:t>
      </w:r>
    </w:p>
    <w:p w:rsidR="00C44FB3" w:rsidRDefault="00C44FB3" w:rsidP="00C44F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1. etapa“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„Rekonstrukce ulice Politických vězňů, Žatec – 1. etapa“ a v souladu se zněním zákona č. 134/2016 Sb., o zadávání veřejných zakázek rozhodla o výběru nabídky s nejnižší nabídkovou cenou uchazeče FREIBAU s.r.o.,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Dermatinky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2561/1a, 150 00 Praha, IČ: 02094240.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komisí.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uchazečem.</w:t>
      </w:r>
    </w:p>
    <w:p w:rsidR="00C44FB3" w:rsidRDefault="00C44FB3" w:rsidP="00C44F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15.4.2020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„Oprava povrchu komunikace na ul. </w:t>
      </w:r>
    </w:p>
    <w:p w:rsidR="00C44FB3" w:rsidRDefault="00C44FB3" w:rsidP="00C44F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Svatováclavská, Žatec“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zhotovitele stavby „Oprava povrchu komunikace na ul. Svatováclavská, Žatec“ a v souladu se zněním zákona č. 134/2016 Sb., o zadávání veřejných rozhodla o výběru nabídky s nejnižší nabídkovou cenou uchazeče STRABAG a.s., Kačírkova 982/4, Jinonice, 158 00 Praha 5, IČO: 60838744.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uchazečem.</w:t>
      </w:r>
    </w:p>
    <w:p w:rsidR="00C44FB3" w:rsidRDefault="00C44FB3" w:rsidP="00C44F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15.4.2020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krizové řízení</w:t>
      </w:r>
    </w:p>
    <w:p w:rsidR="00C44FB3" w:rsidRDefault="00C44FB3" w:rsidP="008F076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ve výši 1.000.000,00 Kč, a to čerpání rezervního fondu na navýšení výdajů kap. 719 – krizové řízení takto: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719-6171-5901          - 1.000.000,00 Kč (RF)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719-5213-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5139         + 1.000.000,00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(krizové řízení).</w:t>
      </w:r>
    </w:p>
    <w:p w:rsidR="00C44FB3" w:rsidRDefault="00C44FB3" w:rsidP="00C44F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24.3.2020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Pravidla provozu telefonické linky pro seniory v rámci krizového </w:t>
      </w:r>
    </w:p>
    <w:p w:rsidR="00C44FB3" w:rsidRDefault="00C44FB3" w:rsidP="00C44F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opatření</w:t>
      </w:r>
    </w:p>
    <w:p w:rsidR="008F0766" w:rsidRDefault="00C44FB3" w:rsidP="008F076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Pravidla provozu linky pro seniory v rámci krizového opatření.</w:t>
      </w:r>
    </w:p>
    <w:p w:rsidR="008F0766" w:rsidRDefault="008F0766" w:rsidP="008F076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B3" w:rsidRDefault="008F0766" w:rsidP="008F076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4F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44F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44FB3">
        <w:rPr>
          <w:rFonts w:ascii="Times New Roman" w:hAnsi="Times New Roman" w:cs="Times New Roman"/>
          <w:color w:val="000000"/>
          <w:sz w:val="20"/>
          <w:szCs w:val="20"/>
        </w:rPr>
        <w:t>24.3.2020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SULÍKOVÁ, </w:t>
      </w:r>
      <w:r w:rsidR="008F0766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zastavení exekuce č. j. 120 EX 4627/08</w:t>
      </w:r>
    </w:p>
    <w:p w:rsidR="00C44FB3" w:rsidRDefault="00C44FB3" w:rsidP="00B30DA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Usnesení soudního exekutora, Exekutorský úřad Klatovy, se sídlem Za Beránkem 836, Klatovy, č. j. 120 EX 4627/08-205, včetně návrhu 2. povinné </w:t>
      </w:r>
      <w:r w:rsidR="00B30DA4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zastavení exekučního řízení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120 EX 4627/080 z důvodu nemajetnosti a </w:t>
      </w:r>
      <w:r w:rsidR="00B30DA4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oporučuje zastupitelstvu města žádosti nevyhovět a pokračovat v zahájeném exekučním řízení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č. j. 120 EX 4627/08.</w:t>
      </w:r>
    </w:p>
    <w:p w:rsidR="00C44FB3" w:rsidRDefault="00C44FB3" w:rsidP="00C44F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2.4.2020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FD2CF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 (mimo stálé body 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programu):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Chrám Chmele a Piva CZ, příspěvková organizace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st. p. č. 586/3, 586/1, 583/2, 585 a 586/6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části p. p. č. 4646/6, 4646/21, 4646/22, 4646/26, 4646/27, 4646/29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p. p. č. 1109/35, 1109/36, 1109/37 a 1109/38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části p. p. č. 6813/1, 8, 9, st. p. č. 5626 a 5627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Nákup akcií RRA Ústeckého kraje a.s.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RK SERVO spol. s r.o. – žádost o ponechání VH 2019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Žádost o účelovou neinvestiční dotaci – výměna oken – ZŠ Žatec, Komenského alej 749, 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Městské lesy Žatec, p. o. – poskytnutí příspěvku zřizovatele pro rok 2020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zastavení exekuce č. j. 120 EX 4627/08</w:t>
      </w:r>
    </w:p>
    <w:p w:rsidR="00C44FB3" w:rsidRDefault="00C44FB3" w:rsidP="00C4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Fond regenerace Města Žatce na rok 2020</w:t>
      </w:r>
      <w:r w:rsidR="008F07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FB3" w:rsidRDefault="00C44FB3" w:rsidP="00C44F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30.6.2020</w:t>
      </w:r>
      <w:proofErr w:type="gramEnd"/>
    </w:p>
    <w:p w:rsidR="00C44FB3" w:rsidRDefault="00C44FB3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FD2CF4" w:rsidRDefault="00FD2CF4" w:rsidP="00FD2CF4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omluven</w:t>
            </w: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  <w:tr w:rsidR="00FD2CF4" w:rsidTr="00E931BA">
        <w:tc>
          <w:tcPr>
            <w:tcW w:w="1219" w:type="dxa"/>
            <w:shd w:val="clear" w:color="auto" w:fill="auto"/>
          </w:tcPr>
          <w:p w:rsidR="00FD2CF4" w:rsidRDefault="00FD2CF4" w:rsidP="00E931BA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FD2CF4" w:rsidRDefault="00FD2CF4" w:rsidP="00E931BA">
            <w:pPr>
              <w:spacing w:line="360" w:lineRule="auto"/>
              <w:jc w:val="center"/>
            </w:pPr>
          </w:p>
        </w:tc>
      </w:tr>
    </w:tbl>
    <w:p w:rsidR="00FD2CF4" w:rsidRDefault="00FD2CF4" w:rsidP="00C44F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44FB3" w:rsidRDefault="00C44FB3" w:rsidP="00C44FB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C44FB3" w:rsidRDefault="00C44FB3" w:rsidP="008F076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B30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B30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B30DA4" w:rsidRDefault="00B30DA4" w:rsidP="008F076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DA4" w:rsidRDefault="00B30DA4" w:rsidP="008F076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DA4" w:rsidRDefault="00B30DA4" w:rsidP="008F076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3FEB" w:rsidRDefault="00193FEB" w:rsidP="00193FEB">
      <w:pPr>
        <w:pStyle w:val="Nadpis1"/>
      </w:pPr>
      <w:r>
        <w:t>Za správnost vyhotovení: Pavlína Kloučková</w:t>
      </w:r>
    </w:p>
    <w:p w:rsidR="00193FEB" w:rsidRDefault="00193FEB" w:rsidP="00193FEB">
      <w:pPr>
        <w:jc w:val="both"/>
        <w:rPr>
          <w:sz w:val="24"/>
        </w:rPr>
      </w:pPr>
    </w:p>
    <w:p w:rsidR="00193FEB" w:rsidRDefault="00193FEB" w:rsidP="00193FEB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</w:p>
    <w:p w:rsidR="00B30DA4" w:rsidRDefault="00B30DA4" w:rsidP="008F076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</w:p>
    <w:sectPr w:rsidR="00B30DA4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36" w:rsidRDefault="00805A36" w:rsidP="00805A36">
      <w:pPr>
        <w:spacing w:after="0" w:line="240" w:lineRule="auto"/>
      </w:pPr>
      <w:r>
        <w:separator/>
      </w:r>
    </w:p>
  </w:endnote>
  <w:endnote w:type="continuationSeparator" w:id="0">
    <w:p w:rsidR="00805A36" w:rsidRDefault="00805A36" w:rsidP="0080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57488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05A36" w:rsidRDefault="00805A36" w:rsidP="00805A3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9B2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9B2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A36" w:rsidRDefault="00805A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36" w:rsidRDefault="00805A36" w:rsidP="00805A36">
      <w:pPr>
        <w:spacing w:after="0" w:line="240" w:lineRule="auto"/>
      </w:pPr>
      <w:r>
        <w:separator/>
      </w:r>
    </w:p>
  </w:footnote>
  <w:footnote w:type="continuationSeparator" w:id="0">
    <w:p w:rsidR="00805A36" w:rsidRDefault="00805A36" w:rsidP="00805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B3"/>
    <w:rsid w:val="000C6012"/>
    <w:rsid w:val="00193FEB"/>
    <w:rsid w:val="00805A36"/>
    <w:rsid w:val="008F0766"/>
    <w:rsid w:val="0095479A"/>
    <w:rsid w:val="00B30DA4"/>
    <w:rsid w:val="00C44FB3"/>
    <w:rsid w:val="00D74B33"/>
    <w:rsid w:val="00DE09B2"/>
    <w:rsid w:val="00F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93F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A36"/>
  </w:style>
  <w:style w:type="paragraph" w:styleId="Zpat">
    <w:name w:val="footer"/>
    <w:basedOn w:val="Normln"/>
    <w:link w:val="ZpatChar"/>
    <w:uiPriority w:val="99"/>
    <w:unhideWhenUsed/>
    <w:rsid w:val="0080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A36"/>
  </w:style>
  <w:style w:type="paragraph" w:customStyle="1" w:styleId="standard">
    <w:name w:val="standard"/>
    <w:link w:val="standardChar"/>
    <w:rsid w:val="008F07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8F0766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193FE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93FE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FE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93F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A36"/>
  </w:style>
  <w:style w:type="paragraph" w:styleId="Zpat">
    <w:name w:val="footer"/>
    <w:basedOn w:val="Normln"/>
    <w:link w:val="ZpatChar"/>
    <w:uiPriority w:val="99"/>
    <w:unhideWhenUsed/>
    <w:rsid w:val="0080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A36"/>
  </w:style>
  <w:style w:type="paragraph" w:customStyle="1" w:styleId="standard">
    <w:name w:val="standard"/>
    <w:link w:val="standardChar"/>
    <w:rsid w:val="008F07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8F0766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193FE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93FE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FE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84CC-2D67-4DF2-8A07-DAC8DD95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2480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2020-03-23T14:02:00Z</cp:lastPrinted>
  <dcterms:created xsi:type="dcterms:W3CDTF">2020-03-23T13:54:00Z</dcterms:created>
  <dcterms:modified xsi:type="dcterms:W3CDTF">2020-03-23T14:03:00Z</dcterms:modified>
</cp:coreProperties>
</file>