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C8" w:rsidRDefault="0039084C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CC00C8" w:rsidRDefault="00BB4818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D709B3" wp14:editId="3F9BF444">
            <wp:simplePos x="0" y="0"/>
            <wp:positionH relativeFrom="column">
              <wp:posOffset>2185670</wp:posOffset>
            </wp:positionH>
            <wp:positionV relativeFrom="paragraph">
              <wp:posOffset>107315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CC00C8" w:rsidRDefault="0039084C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CC00C8" w:rsidRDefault="0039084C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27.5.2021</w:t>
      </w:r>
      <w:proofErr w:type="gramEnd"/>
    </w:p>
    <w:p w:rsidR="00CC00C8" w:rsidRDefault="0039084C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57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89  /21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zpráva Nemocnice Žatec, o.p.s. za rok 2020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Žatec, o.p.s. – pověřovací akt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„Investice Nemocnice Žatec, o.p.s.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zajištění standardních podmínek pro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voz akutního lůžkového zařízení“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„Podpora uspokojování potřeb občanů – oblast zdraví“ – podání žádosti o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z Fondu Ústeckého kraje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část p. p. č.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246/20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pro poskytování návratných finančních výpomocí „Kotlíkové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v Ústeckém kraji – 4. výzva“ – žádosti (IV. část)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Podání žádosti o poskytnutí dotace na projekt „Obnova hruškové aleje v ul.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Volyňských Čechů“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na realizaci na akci „Odpočinková a relaxační zóna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DPS Písečná“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na akci „Oprava střechy pavilonu dílen a tělocvičny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 ZŠ Komenského alej, Žatec“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do výzvy č. 162 52 „Regionální sportovní infrastruktura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2020 – 2024“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31.03. 2021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pro rok 2021 – ostatní organizace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pro rok 2021 – ostatní organizace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KVaV</w:t>
      </w:r>
      <w:proofErr w:type="spellEnd"/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pro rok 2021 – ostatní organizace – Žatecká Dočesná jinak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poskytnutí neinvestiční účelové dotace – Prometheus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o.p.s.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Navýšení počtu svozů separovaného odpadu ve městě Žatec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Dohoda o ukončení smlouvy o odvozu a odstranění směsného komunálního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odpadu a poskytnutí dalších služeb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7032/3 lesní pozemek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pozemků ul. Lounská v Žatci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1215/8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 p. č. 4221/1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budovy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2554 ul. Jaroslava Vrchlického v Žatci, včetně pozemků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Města Žatce, kterou se nařizuje provedení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speciální ochranné deratizace ve městě Žatci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Národní zahájení Dnů evropského dědictví 2022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Návrh na volbu přísedícího Okresního soudu v Lounech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Zápisy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29.04.2021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jednání kontrolního výboru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Informace o plnění usnesení ZM č. 7/21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21.01.2021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Posouzení </w:t>
      </w:r>
    </w:p>
    <w:p w:rsidR="00CC00C8" w:rsidRDefault="0039084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stavu zahájených správních řízení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CC00C8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39084C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BB4818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39084C" w:rsidP="00BB481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57/21</w:t>
      </w:r>
      <w:r>
        <w:rPr>
          <w:rFonts w:ascii="Arial" w:hAnsi="Arial" w:cs="Arial"/>
          <w:sz w:val="24"/>
          <w:szCs w:val="24"/>
        </w:rPr>
        <w:tab/>
      </w:r>
      <w:r w:rsidR="00BB4818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39084C" w:rsidRDefault="0039084C" w:rsidP="00BB4818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9a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„Podpora uspokojování potřeb občanů – oblast zdraví“ – podání žádosti o finanční příspěvek z Fondu Ústeckého kraje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individuální dotace</w:t>
      </w: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vyřazení bodu č. 28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Žádost společnosti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pozemkypd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</w:t>
      </w:r>
    </w:p>
    <w:p w:rsidR="00BB4818" w:rsidRDefault="00BB4818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p. Josef Hodina, Mgr. Jiří Karas a Ing. Jan Novotný,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4818" w:rsidRDefault="00BB4818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39084C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19.05.2021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4818" w:rsidRDefault="00BB4818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zpráva Nemocnice Žatec, o.p.s. za rok 2020</w:t>
      </w: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ve smyslu čl. VII. Zakládací listiny projednalo a bere na vědomí předloženou Výroční zprávu o činnosti Nemocnice Žatec, o.p.s. za rok 2020.</w:t>
      </w:r>
    </w:p>
    <w:p w:rsidR="00BB4818" w:rsidRDefault="00BB4818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Žatec, o.p.s. – pověřovací akt</w:t>
      </w:r>
    </w:p>
    <w:p w:rsidR="00BB4818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pověření poskytováním služeb obecného hospodářského zájmu, zdravotních služeb v lokalitě okresu Louny, společnost Nemocnice Žatec, o.p.s. se sídlem Husova 2796, 438 01 Žatec, IČ 25026259, vedená u OR, KS Ústí nad Labem, oddíl O, vložka 11, s náplní a za podmínek obsažených v Pověřovacím aktu a ukládá starostce města Mgr. Zdeňce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podepsat Pověřovací akt a zajistit jeho přijetí na straně Pověřovaného, dále pověřuje Radu města Žatce v případě, že si třetí subjekt vyžádá změnu či doplnění parametrů v souvislosti se specifickými podmínkami pro žadatele a příjemce dotací IROP rozhodnout o změně parametrů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pověření, mimo stanovení výše vyrovnávací platby Pověřovacího aktu.</w:t>
      </w:r>
    </w:p>
    <w:p w:rsidR="00BB4818" w:rsidRDefault="00BB4818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BB481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62/21</w:t>
      </w:r>
      <w:r w:rsidR="00BB4818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„Investice Nemocnice Žatec, o.p.s. </w:t>
      </w:r>
      <w:r w:rsidR="00BB48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zajištění standardních podmínek </w:t>
      </w:r>
    </w:p>
    <w:p w:rsidR="00BB4818" w:rsidRDefault="00BB4818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 pro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voz akutního lůžkového zařízení“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znění Dodatku č. 1 ke Smlouvě o poskytnutí investiční dotace z Fondu Ústeckého kraje, uzavřené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30.12.2019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č. smlouvy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9/SML3842/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SoPD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/ZD mezi Městem Žatec a Ústeckým krajem v souvislosti s realizací akce „Investice Nemocnice Žatec o.p.s. – zajištění standardních podmínek pro provoz akutního lůžkového zařízení“ – „Plnění základních úkolů obce – rozvoj zdraví“.</w:t>
      </w:r>
    </w:p>
    <w:p w:rsidR="00BB4818" w:rsidRDefault="00BB4818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„Podpora uspokojování potřeb občanů – oblast zdraví“ – podání žádosti o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finanční příspěvek z Fondu Ústeckého kraje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žádosti o finanční příspěvek z Fondu Ústeckého kraje – individuální dotace na projekt „Podpora uspokojování potřeb občanů – oblast zdraví“.</w:t>
      </w:r>
    </w:p>
    <w:p w:rsidR="00BB4818" w:rsidRDefault="00BB4818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84C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část p. p. č. 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246/20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Velichov u Žatce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9, dle písm. d) § 44 zákona č. 183/2006 Sb., o územním plánování a stavebním řádu (stavební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zákon), ve znění pozdějších předpisů a neschvaluje pořízení změny Územního plánu Žatec – úplné znění po změně č. 9 – změna využití části pozemku p. p. č. 246/20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Velichov u Žatce z plochy Zemědělská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plocha – orná půda na plochu Výroba – průmyslová výroba a skladování.</w:t>
      </w:r>
    </w:p>
    <w:p w:rsidR="0039084C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65/21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pro poskytování návratných finančních výpomocí „Kotlíkové 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v Ústeckém kraji – 4. výzva“ – žádosti (IV. část)</w:t>
      </w:r>
    </w:p>
    <w:p w:rsidR="00BB4818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poskytnutí návratné finanční výpomoci v rámci Programu pro poskytování návratných finančních výpomocí „Kotlíkové dotace v Ústeckém kraji – 4. 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ýzva“ dle</w:t>
      </w:r>
      <w:r w:rsidR="00BB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D157FC" w:rsidRDefault="00D157FC" w:rsidP="00D157FC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tbl>
      <w:tblPr>
        <w:tblW w:w="0" w:type="auto"/>
        <w:jc w:val="center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D157FC" w:rsidRPr="009179ED" w:rsidTr="00BC371E">
        <w:trPr>
          <w:trHeight w:val="497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D157FC" w:rsidRPr="009179ED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Jméno žadatele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Pr="009179ED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Tepelný zdroj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Pr="009179ED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/>
                <w:szCs w:val="24"/>
              </w:rPr>
            </w:pPr>
            <w:r w:rsidRPr="009179ED">
              <w:rPr>
                <w:b/>
                <w:szCs w:val="24"/>
              </w:rPr>
              <w:t>Výše výpomoci v Kč</w:t>
            </w:r>
          </w:p>
        </w:tc>
      </w:tr>
      <w:tr w:rsidR="00D157FC" w:rsidRPr="009179ED" w:rsidTr="00BC371E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D157FC" w:rsidRPr="009179ED" w:rsidRDefault="001C4645" w:rsidP="001C464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Pr="009179ED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biomasa ruční přikládání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Pr="009179ED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107.500,00</w:t>
            </w:r>
          </w:p>
        </w:tc>
      </w:tr>
      <w:tr w:rsidR="00D157FC" w:rsidRPr="009179ED" w:rsidTr="00BC371E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D157FC" w:rsidRDefault="001C4645" w:rsidP="001C464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  <w:tr w:rsidR="00D157FC" w:rsidRPr="009179ED" w:rsidTr="00BC371E">
        <w:trPr>
          <w:trHeight w:hRule="exact" w:val="454"/>
          <w:jc w:val="center"/>
        </w:trPr>
        <w:tc>
          <w:tcPr>
            <w:tcW w:w="3000" w:type="dxa"/>
            <w:shd w:val="clear" w:color="auto" w:fill="auto"/>
            <w:vAlign w:val="center"/>
          </w:tcPr>
          <w:p w:rsidR="00D157FC" w:rsidRDefault="001C4645" w:rsidP="001C4645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fyzická osoba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tepelné čerpadlo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157FC" w:rsidRDefault="00D157FC" w:rsidP="00BC371E">
            <w:pPr>
              <w:pStyle w:val="standard"/>
              <w:suppressLineNumbers/>
              <w:tabs>
                <w:tab w:val="left" w:pos="2324"/>
                <w:tab w:val="left" w:pos="2608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200.000,00</w:t>
            </w:r>
          </w:p>
        </w:tc>
      </w:tr>
    </w:tbl>
    <w:p w:rsidR="00D157FC" w:rsidRDefault="00D157FC" w:rsidP="00D157FC">
      <w:pPr>
        <w:pStyle w:val="standard"/>
        <w:suppressLineNumbers/>
        <w:tabs>
          <w:tab w:val="left" w:pos="2324"/>
          <w:tab w:val="left" w:pos="2608"/>
        </w:tabs>
        <w:jc w:val="both"/>
        <w:rPr>
          <w:bCs/>
          <w:szCs w:val="24"/>
        </w:rPr>
      </w:pPr>
    </w:p>
    <w:p w:rsidR="0039084C" w:rsidRDefault="0039084C" w:rsidP="00BB4818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poskytnutí dotace na projekt „Obnova hruškové aleje v 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ul. Volyňských Čechů“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projektové žádosti „Obnova hruškové aleje v ul. Volyňských Čechů“ z programu Ministerstva životního prostředí prostřednictvím Státního fondu životního prostředí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ČR v rámci Národního programu Životního prostředí. 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zajištění předfinancování projektu „Obnova hruškové aleje v ul. Volyňských Čechů“ z programu Ministerstva životního prostředí prostřednictvím Státního fondu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životního prostředí ČR v rámci Národního programu Životního prostředí, a zároveň zajištění financování projektu, tzn. zajištění financování případných nezpůsobilých výdajů projektu.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na realizaci na akci „Odpočinková a relaxační zóna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 Písečná“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4.300.000,00 Kč, a to čerpání finančních prostředků z investičního fondu na financování realizace akce „Odpočinková a relaxační zóna DPS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Písečná“.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- 4.300.000,00 (IF)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739-3745-6122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814         + 1.300.000,00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739-3745-5137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814         +   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814         + 2.400.000,00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(zahrada DPS Písečná).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na akci „Oprava střechy pavilonu dílen a tělocvičny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ZŠ Komenského alej, Žatec“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4.700.000,00 Kč, a to čerpání finančních prostředků investičního fondu ve výši 3.200.000,00 Kč a čerpání havarijního fondu ve výši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1.500.000,00 Kč na financování realizace akce „Oprava střechy pavilonu dílen a tělocvičny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ZŠ Komenského alej, Žatec“. 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- 3.200.000,00 Kč (IF)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1250      - 1.500.000,00 Kč (havarijní fond)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5529      + 4.600.000,00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(oprava střechy)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5529      +  100.000,00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(TDS, BOZP).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69/21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do výzvy č. 162 52 „Regionální sportovní infrastruktura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2020 – 2024“ TJ Lokomotiva </w:t>
      </w:r>
      <w:proofErr w:type="gramStart"/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Žatec, </w:t>
      </w:r>
      <w:proofErr w:type="spellStart"/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z.s</w:t>
      </w:r>
      <w:proofErr w:type="spellEnd"/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TJ Lokomotiva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IČ 491 20 247, se sídlem Masarykova 946, 438 01 Žatec a schvaluje zajištění předfinancování projektu „Rekonstrukce sportovního areálu loděnice v Žatci“ v rámci dotačního investičního programu č. 162 52 „Regionální sportovní infrastrukturu 2020 – 2024“ v celkové výši 3.631.230,00 Kč, včetně zajištění spolufinancování obce ve výši 30 % celkových způsobilých výdajů projektu, a to v případě, že projekt bude podpořen Národní sportovní agenturou.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01.01.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31.03. 2021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opatření schválených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31.03.2021.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pro rok 2021 – ostatní organizace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dle § 85 odst. c) zákona č. 128/2000 Sb., o obcích (obecní zřízení), ve znění pozdějších předpisů, schvaluje poskytnutí dotací ostatním organizacím pro rok 2021 nad 50.000,00 Kč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 předloženého návrhu.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Poskytnutí finančních příspěvků pro rok 2021 – ostatní organizace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KVaV</w:t>
      </w:r>
      <w:proofErr w:type="spellEnd"/>
    </w:p>
    <w:p w:rsidR="00D157F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§ 85 písm. c) zákona č. 128/2000 Sb., o obcích (obecní zřízení), ve znění pozdějších předpisů, poskytnutí finančních příspěvků ostatním organizacím pro rok 2021 nad 50.000,00 Kč dle předloženého návrhu v souladu se zápisem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jednání komise pro výchovu a vzdělávání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13.04.2021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pro rok 2021 – ostatní organizace – Žatecká Dočesná jinak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dle § 85 odst. c) zákona č. 128/2000 Sb., o obcích (obecní zřízení), ve znění pozdějších předpisů, poskytnutí dotací ostatním organizacím pro rok 2021 v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rámci programu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Žatecká Dočesná jinak nad 50.000,00 Kč dle předložené tabulky s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r</w:t>
      </w:r>
      <w:r>
        <w:rPr>
          <w:rFonts w:ascii="Times New Roman" w:hAnsi="Times New Roman" w:cs="Times New Roman"/>
          <w:color w:val="000000"/>
          <w:sz w:val="24"/>
          <w:szCs w:val="24"/>
        </w:rPr>
        <w:t>ozdělením příspěvků.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poskytnutí neinvestiční účelové dotace – Prometheus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o.p.s.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Prometheus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o.p.s. a schvaluje,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102 odst. 3 zákona č. 128/2000 Sb., o obcích, ve znění pozdějších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předpisů,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oskytnutí neinvestiční účelové dotace obecně prospěšné společnosti Prometheus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Effect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se sídlem Husova 1200, Žatec, IČ 28740572 ve výši 72.000,00 Kč na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nákladů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rojektu Mediace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 rodiny. Finanční prostředky budou čerpány z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k</w:t>
      </w:r>
      <w:r>
        <w:rPr>
          <w:rFonts w:ascii="Times New Roman" w:hAnsi="Times New Roman" w:cs="Times New Roman"/>
          <w:color w:val="000000"/>
          <w:sz w:val="24"/>
          <w:szCs w:val="24"/>
        </w:rPr>
        <w:t>ap. 741 – příspěvky ostatním organizacím.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72.000,00 Kč, a to navýšení příjmů rozpočtu města, kap. 728 – vratky finančních příspěvků z nerealizovaných projektů komunitního plánování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 roce 2020 na navýšení výdajů kap. 741 – příspěvky ostatním organizacím.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728-4349-2229      + 72.000,00 Kč (vratky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příspěvků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KP 2020)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5221      + 72.000,00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(kap. 741 – příspěvky ostatním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Navýšení počtu svozů separovaného odpadu ve městě Žatec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uzavření Dodatku č. 56 smlouvy o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provozování separovaného sběru pevných druhotných surovin v katastrálním území města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15.08.1994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uzavřené mezi Městem Žatec a společností Marius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 se sídlem na adrese Průběžná 1940/3, 500 09 Hradec Králové, IČ: 42194920.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Dohoda o ukončení smlouvy o odvozu a odstranění směsného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komunálního odpadu a poskytnutí dalších služeb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ukončení smluv o odvozu a odstranění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směsného komunálního odpadu a poskytnutí dalších služeb v systému komplexního nakládání s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komunálním odpadem ve městě Žatec dohodou 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uzavřených mezi Městem 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hAnsi="Times New Roman" w:cs="Times New Roman"/>
          <w:color w:val="000000"/>
          <w:sz w:val="24"/>
          <w:szCs w:val="24"/>
        </w:rPr>
        <w:t>atec a producenty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odpadu.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7032/3 lesní pozemek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pozemek p. p. č. 7032/3 lesní pozemek o výměře 7.854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ve výši 148.000,00 Kč za účelem realizace akce „Páteřní cyklostezka Ohře trasa – Litoměřice – (Boč) – Perštejn – úsek č. 1“.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78/21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pozemků ul. Lounská 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pozemků p. p. č. 2217/4 o výměře 311 m2, p. p. č. 2217/5 o výměře 393 m2, p. p. č. 2217/6 o výměře 1 m2, p. p. č. 2217/7 o výměře 72 m2 a p. p. č. 2217/8 o výměře 645 m2 ul. Lounská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podílového spoluvlastnictví: ¼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¼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½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fyzickým osobám z</w:t>
      </w:r>
      <w:r>
        <w:rPr>
          <w:rFonts w:ascii="Times New Roman" w:hAnsi="Times New Roman" w:cs="Times New Roman"/>
          <w:color w:val="000000"/>
          <w:sz w:val="24"/>
          <w:szCs w:val="24"/>
        </w:rPr>
        <w:t>a kupní cenu 1.304.000,00 Kč + DPH + poplatky spojené s provedením kupní smlouvy.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79/21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1215/8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pozemku ostatní plocha p. p. č. 1215/8 o výměře 1823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 p. č. 4221/1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ukládá odboru místního hospodářství a majetku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zveřejnit po geodetickém oddělení po dobu 15 dnů záměr města prodat části pozemku ostatní plocha p. p. č. 4221/1 v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za minimální kupní cenu stanovenou znaleckým posudkem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budovy e.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2554 ul. Jaroslava Vrchlického v Žatci, včetně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pozemků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neschvaluje prodej nemovitostí části pozemku zastavěná plocha a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nádvoří st. p. č. 3356 o výměře 310 m2, jehož součástí je stavba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2554, části pozemku ostatní plocha p. p. č. 7095/2 o výměře 93 m2, části pozemku ostatní plocha p. p. č. 7095/5 o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3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(dle geometrického plánu č. 5363-115/2011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24.01.2012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Města Žatce, kterou se nařizuje provedení 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speciální ochranné deratizace ve městě Žatci</w:t>
      </w: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Obecně závaznou vyhlášku Města Žatce, kterou se nařizuje provedení speciální ochranné deratizace ve městě Žatci.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83/21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Národní zahájení Dnů evropského dědictví 2022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pořádání akce s názvem „Národní zahájení Dnů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evropského dědictví“ v Žatci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10.09.2022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volbu přísedícího Okresního soudu v</w:t>
      </w:r>
      <w:r w:rsidR="00D15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Lounech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zvolilo </w:t>
      </w:r>
      <w:r w:rsidR="001C4645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přísedícími Okresního soudu v Lounech.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Zápisy z jednání finančního výboru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30.03.2021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29.04.2021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zápisy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30.03.2021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29.04.2021.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jednání kontrolního výboru</w:t>
      </w: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Zastupitelstvo města Žatce bere na vědomí zápis z jednání kontrolního výboru ze dne 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19.02. 2021 a 03.05.2021.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Zastupitelstvo města Žatce schvaluje plán práce kontrolního výboru na rok 2021.</w:t>
      </w:r>
    </w:p>
    <w:p w:rsidR="0039084C" w:rsidRDefault="0039084C" w:rsidP="0039084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Zastupitelstvo města Žatce pověřuje kontrolní výbor k provedení kontrol dle schváleného plánu práce.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Informace o plnění usnesení ZM č. 7/21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21.01.2021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Posouzení </w:t>
      </w:r>
    </w:p>
    <w:p w:rsidR="00D157FC" w:rsidRDefault="00D157F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stavu zahájených správních řízení</w:t>
      </w:r>
    </w:p>
    <w:p w:rsidR="0039084C" w:rsidRDefault="0039084C" w:rsidP="00D157F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ukládá Radě města Žatce nechat advokátní kanceláří zpracovat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možnosti podat správní žalobu na společnost HP-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Pelzer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s.r.o., IČ 40524604, sídlo Pod Kyjovem 349/18,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Radčice, 322 00 Plzeň, za porušování předpisů souvisejících s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n</w:t>
      </w:r>
      <w:r>
        <w:rPr>
          <w:rFonts w:ascii="Times New Roman" w:hAnsi="Times New Roman" w:cs="Times New Roman"/>
          <w:color w:val="000000"/>
          <w:sz w:val="24"/>
          <w:szCs w:val="24"/>
        </w:rPr>
        <w:t>eoprávněným užíváním nepovolených staveb a nerespektování rozhodnutí Stavebního a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vyvlastňovacího úřadu, životního prostředí Žatec, a to i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ohledem na možnost (jak je ve stanovisku 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Těmín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s.r.o. uvedeno) zjevného zneužívání práva a obstrukce, jakož i posoudit doporučení veřejného ochránce práv, zabývat se činností společnosti v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rovině</w:t>
      </w:r>
      <w:r w:rsidR="00D157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trestněprávní.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39084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19.05.2021.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89/21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</w:t>
      </w:r>
    </w:p>
    <w:p w:rsidR="00D157FC" w:rsidRDefault="0039084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ukládá Radě města Žatce předložit na červnové jednání zastupitelstva města písemnou informaci o přípravě Žatecké teplárenské, a.s., která se týká řešení emisních limitů, zejména pak síry od roku 2024 a písemnou informaci o tom, jaká technická opatření byla za působení současného představenstva za účelem zvýšení efektivity výroby tepla a elektrické energie v Žatecké teplárenské, a.s.</w:t>
      </w: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157F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3908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39084C" w:rsidRDefault="00D157FC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9084C"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1C4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1C4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v.r.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 w:rsidR="00390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1C4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1C4645" w:rsidRDefault="001C4645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645" w:rsidRDefault="001C4645" w:rsidP="00D157F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DB0" w:rsidRDefault="00A36DB0" w:rsidP="00A36DB0">
      <w:pPr>
        <w:pStyle w:val="Nadpis1"/>
      </w:pPr>
      <w:r>
        <w:t>Za správnost vyhotovení: Pavlína Kloučková</w:t>
      </w:r>
    </w:p>
    <w:p w:rsidR="00A36DB0" w:rsidRDefault="00A36DB0" w:rsidP="00A36DB0">
      <w:pPr>
        <w:pStyle w:val="Zkladntext"/>
      </w:pPr>
    </w:p>
    <w:p w:rsidR="001C4645" w:rsidRDefault="00A36DB0" w:rsidP="00A36DB0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110/2019 Sb., o zpracování osobních údajů.</w:t>
      </w:r>
      <w:bookmarkStart w:id="0" w:name="_GoBack"/>
      <w:bookmarkEnd w:id="0"/>
    </w:p>
    <w:sectPr w:rsidR="001C4645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18" w:rsidRDefault="00BB4818" w:rsidP="00BB4818">
      <w:pPr>
        <w:spacing w:after="0" w:line="240" w:lineRule="auto"/>
      </w:pPr>
      <w:r>
        <w:separator/>
      </w:r>
    </w:p>
  </w:endnote>
  <w:endnote w:type="continuationSeparator" w:id="0">
    <w:p w:rsidR="00BB4818" w:rsidRDefault="00BB4818" w:rsidP="00BB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46595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4818" w:rsidRDefault="00BB4818" w:rsidP="00BB481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B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B6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4818" w:rsidRDefault="00BB48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18" w:rsidRDefault="00BB4818" w:rsidP="00BB4818">
      <w:pPr>
        <w:spacing w:after="0" w:line="240" w:lineRule="auto"/>
      </w:pPr>
      <w:r>
        <w:separator/>
      </w:r>
    </w:p>
  </w:footnote>
  <w:footnote w:type="continuationSeparator" w:id="0">
    <w:p w:rsidR="00BB4818" w:rsidRDefault="00BB4818" w:rsidP="00BB4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4C"/>
    <w:rsid w:val="001C4645"/>
    <w:rsid w:val="0039084C"/>
    <w:rsid w:val="007F0B67"/>
    <w:rsid w:val="00A36DB0"/>
    <w:rsid w:val="00BB4818"/>
    <w:rsid w:val="00CC00C8"/>
    <w:rsid w:val="00CD5C4A"/>
    <w:rsid w:val="00D157FC"/>
    <w:rsid w:val="00D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36D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818"/>
  </w:style>
  <w:style w:type="paragraph" w:styleId="Zpat">
    <w:name w:val="footer"/>
    <w:basedOn w:val="Normln"/>
    <w:link w:val="ZpatChar"/>
    <w:uiPriority w:val="99"/>
    <w:unhideWhenUsed/>
    <w:rsid w:val="00BB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18"/>
  </w:style>
  <w:style w:type="paragraph" w:customStyle="1" w:styleId="standard">
    <w:name w:val="standard"/>
    <w:link w:val="standardChar"/>
    <w:rsid w:val="00D157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D157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A36DB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36DB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36DB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36D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818"/>
  </w:style>
  <w:style w:type="paragraph" w:styleId="Zpat">
    <w:name w:val="footer"/>
    <w:basedOn w:val="Normln"/>
    <w:link w:val="ZpatChar"/>
    <w:uiPriority w:val="99"/>
    <w:unhideWhenUsed/>
    <w:rsid w:val="00BB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18"/>
  </w:style>
  <w:style w:type="paragraph" w:customStyle="1" w:styleId="standard">
    <w:name w:val="standard"/>
    <w:link w:val="standardChar"/>
    <w:rsid w:val="00D157F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standardChar">
    <w:name w:val="standard Char"/>
    <w:link w:val="standard"/>
    <w:rsid w:val="00D157F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A36DB0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A36DB0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A36DB0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1A06-3F66-4C6C-9695-13A1EB7B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2362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2021-05-28T06:51:00Z</cp:lastPrinted>
  <dcterms:created xsi:type="dcterms:W3CDTF">2021-05-28T06:46:00Z</dcterms:created>
  <dcterms:modified xsi:type="dcterms:W3CDTF">2021-05-28T06:52:00Z</dcterms:modified>
</cp:coreProperties>
</file>