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CC" w:rsidRDefault="009615B4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B07CCC" w:rsidRDefault="00CC68B1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83F550" wp14:editId="1B66A002">
            <wp:simplePos x="0" y="0"/>
            <wp:positionH relativeFrom="column">
              <wp:posOffset>2155825</wp:posOffset>
            </wp:positionH>
            <wp:positionV relativeFrom="paragraph">
              <wp:posOffset>73025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5B4">
        <w:rPr>
          <w:rFonts w:ascii="Arial" w:hAnsi="Arial" w:cs="Arial"/>
          <w:sz w:val="24"/>
          <w:szCs w:val="24"/>
        </w:rPr>
        <w:tab/>
      </w:r>
      <w:r w:rsidR="009615B4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B07CCC" w:rsidRDefault="009615B4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</w:t>
      </w:r>
      <w:r w:rsidR="00CC68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B07CCC" w:rsidRDefault="009615B4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24.6.2021</w:t>
      </w:r>
      <w:proofErr w:type="gramEnd"/>
    </w:p>
    <w:p w:rsidR="00B07CCC" w:rsidRDefault="009615B4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90  /21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111 /21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 Žatce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Transformace Nemocnice Žatec, o.p.s.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9 – p. p. č. 895/4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</w:p>
    <w:p w:rsidR="00B07CCC" w:rsidRDefault="009615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9 – st. p. č. 3483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</w:p>
    <w:p w:rsidR="00B07CCC" w:rsidRDefault="009615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Směna částí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částí pozemku p. p. č. 6008/5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Financování investice: Polyfunkční a spolkové centrum – Regionální </w:t>
      </w:r>
    </w:p>
    <w:p w:rsidR="00B07CCC" w:rsidRDefault="009615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technologické centrum robotiky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99/21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účelové neinvestiční a investiční dotace – Jazyková učebna s novými</w:t>
      </w:r>
    </w:p>
    <w:p w:rsidR="00B07CCC" w:rsidRDefault="009615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technologiemi – ZŠ Žatec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neinvestiční a investiční dotaci – ZŠ Žatec, Petra </w:t>
      </w:r>
    </w:p>
    <w:p w:rsidR="00B07CCC" w:rsidRDefault="009615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Bezruče 2000, okres Louny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Návratná finanční výpomoc na projekt „Polytechnické vzdělávání ve 21. </w:t>
      </w:r>
    </w:p>
    <w:p w:rsidR="00B07CCC" w:rsidRDefault="009615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století“ z výzvy č. 92 IROP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neinvestiční dotaci – Městské divadlo Žatec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 z jednání finančního výboru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26.05.2021</w:t>
      </w:r>
      <w:proofErr w:type="gramEnd"/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Závěrečný účet Města Žatce za rok 2020 a Roční závěrka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Dotace pro rok 2021 – ostatní organizace, Žatecká Dočesná jinak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Fond regenerace Města Žatce na rok 2021</w:t>
      </w: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pro poskytování návratných finančních výpomocí „Kotlíkové </w:t>
      </w:r>
    </w:p>
    <w:p w:rsidR="00B07CCC" w:rsidRDefault="009615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dotace v Ústeckém kraji – 4. výzva“ – žádosti (V. část)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na zajištění PD „Revitalizace parků v Žatci, retence </w:t>
      </w:r>
    </w:p>
    <w:p w:rsidR="00B07CCC" w:rsidRDefault="009615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vody ve městě – park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Macerka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ke Zřizovací listině příspěvkové organizace – Technické </w:t>
      </w:r>
    </w:p>
    <w:p w:rsidR="00B07CCC" w:rsidRDefault="009615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služby města Žatec,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účelovou neinvestiční dotaci – Technická správa města Žatec s.r.o.</w:t>
      </w:r>
    </w:p>
    <w:p w:rsidR="00B07CCC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9615B4" w:rsidRDefault="009615B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CC68B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9615B4" w:rsidP="00CC68B1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90/21</w:t>
      </w:r>
      <w:r>
        <w:rPr>
          <w:rFonts w:ascii="Arial" w:hAnsi="Arial" w:cs="Arial"/>
          <w:sz w:val="24"/>
          <w:szCs w:val="24"/>
        </w:rPr>
        <w:tab/>
      </w:r>
      <w:r w:rsidR="00CC68B1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9615B4" w:rsidRDefault="009615B4" w:rsidP="00CC68B1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CC68B1" w:rsidRDefault="009615B4" w:rsidP="00CC6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vyjmutí bodů č. 12, 26.</w:t>
      </w:r>
    </w:p>
    <w:p w:rsidR="00CC68B1" w:rsidRDefault="00CC68B1" w:rsidP="00CC6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9615B4" w:rsidP="00CC6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CC68B1" w:rsidRDefault="009615B4" w:rsidP="00CC6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návrhovou komisi ve složení Ing. Andrej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Grežo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Ing.</w:t>
      </w:r>
      <w:r w:rsidR="00CC6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Petr Kubeš a Ing. Jaroslava Ves</w:t>
      </w:r>
      <w:r w:rsidR="00CC68B1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lá.</w:t>
      </w:r>
    </w:p>
    <w:p w:rsidR="00CC68B1" w:rsidRDefault="00CC68B1" w:rsidP="00CC6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9615B4" w:rsidP="00CC6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 Žatce</w:t>
      </w:r>
    </w:p>
    <w:p w:rsidR="00CC68B1" w:rsidRDefault="009615B4" w:rsidP="00CC6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zastupitelstva města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16.06.2021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68B1" w:rsidRDefault="00CC68B1" w:rsidP="00CC6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68B1" w:rsidRDefault="009615B4" w:rsidP="00CC6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Transformace Nemocnice Žatec, o.p.s.</w:t>
      </w:r>
    </w:p>
    <w:p w:rsidR="009615B4" w:rsidRDefault="009615B4" w:rsidP="00CC68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Zastupitelstvo města Žatce projednalo: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a schvaluje ve smyslu ustanovení § 84 odst. 2 písm. e) zákona č. 128/2000 Sb., o obcích,</w:t>
      </w:r>
      <w:r w:rsidR="00CC6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 znění pozdějších předpisů, založení obchodní společnosti Žatecká regionální nemocnice, a.s., jejímž</w:t>
      </w:r>
      <w:r w:rsidR="00CC6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jediným zakladatelem a akcionářem bude město Žatec, se základním kapitálem ve výši 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2.000.000,00 Kč rozděleným na 10 akcií na jméno v listinné podobě o jmenovité hodnotě každé z akcií 200.000,00 Kč,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a určuje prvními členy představenstva Žatecké regionální nemocnice, a.s.: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Mgr. Petr Antoni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Mgr. Ondřej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Demut</w:t>
      </w:r>
      <w:proofErr w:type="spellEnd"/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MUDr. Jiří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Hamous</w:t>
      </w:r>
      <w:proofErr w:type="spellEnd"/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p. Štěpán Kuna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Ing. Jan Novotný,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prvními členy dozorčí rady společnosti Žatecké regionální nemocnice, a.s.: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Bc. Vladislav Hrbáček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Mgr. Radek Reindl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p. Jaroslav Špička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Ing. Jaroslava Veselá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PharmDr. Vladimír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Végh</w:t>
      </w:r>
      <w:proofErr w:type="spellEnd"/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a schvaluje ve smyslu ustanovení § 84 odst. 2 písm. e) zákona č. 128/2000 Sb., o obcích, ve znění pozdějších předpisů, stanovy obchodní společnosti Žatecká regionální nemocnice, a.s. v předloženém znění,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dále schvaluje vklad do společnosti Žatecká regionální nemocnice, a.s. ve výši 2.000.000,00 Kč (slovy: dva miliony korun českých) a převedení finančního vkladu na účet zakládané společnosti zvláště k tomu zřízený správcem vkladu,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a dále schvaluje rozpočtové opatření ve výši 2.000.000,00 Kč, a to čerpání rezervního fondu na navýšení výdajů kap. 715 – finanční vklad do obchodní společnosti Žatecká regionální nemocnice, a.s.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- 2.000.000,00 Kč (RF)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715-3522-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6201  + 2.000.000,00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(vklad do společnosti).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 Zastupitelstvo města Žatce projednalo a ukládá vedoucí finančního odboru Městského úřadu Žatec převést částku odpovídající základnímu vkladu na účet společnosti Žatecká regionální nemocnice, a.s. dle bodu 1d) tohoto usnesení.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Zastupitelstvo města Žatce projednalo a pověřuje: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starostku města Žatec, Mgr. Zdeňku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Hamousovou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podepsat stanovy společnosti Žatecká regionální nemocnice, a.s.,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E65C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starostku města Žatec, Mgr. Zdeňku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Hamousovou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činit veškerá právní jednání potřebná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založení a vzniku obchodní společnosti Žatecká regionální nemocnice, a.s. a jejímu zápisu do obchodního rejstříku,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včetně právních jednání souvisejících se získáním živnostenského či 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iného obdobného oprávnění pro společnost, jakož i ke všem dalším právním jednáním 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ouvisejícím se založením a vznikem společnosti,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E65C4" w:rsidRDefault="009615B4" w:rsidP="006E65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Ing. Renatu Sedlákovou, vedoucí finančního odboru Městského úřadu v Žatci, k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zajištění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všech úkonů souvisejících s rolí správce vkladu do základního kapitálu do doby vzniku společnosti Žatecká regionální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nemocnice, a.s.</w:t>
      </w:r>
    </w:p>
    <w:p w:rsidR="006E65C4" w:rsidRDefault="006E65C4" w:rsidP="006E65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65C4" w:rsidRDefault="009615B4" w:rsidP="006E65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9 – p. p. č. 895/4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6E65C4" w:rsidRDefault="009615B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posoudilo předložený návrh na změnu Územního plánu Žatec – úplné znění po změně č. 9, dle písm. d) § 44 zákona č. 183/2006 Sb., o územním plánování a stavebním řádu (stavební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zákon), ve znění pozdějších předpisů a neschvaluje projednání předloženého návrhu v rámci pořízení změny územního plánu – změna využití pozemku p. p. č. 895/4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plochy Zemědělská plocha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orná půda na plochu Rekreace – zahrádkové kolonie.</w:t>
      </w:r>
    </w:p>
    <w:p w:rsidR="006E65C4" w:rsidRDefault="006E65C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65C4" w:rsidRDefault="009615B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ind w:left="1140" w:hanging="11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9 – st. p. č. 3483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6E65C4" w:rsidRDefault="009615B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posoudilo předložený návrh na změnu Územního plánu Žatec – úplné znění po změně č. 9, podaný dle písm. d) § 44 zákona č. 183/2006 Sb., o územním plánování a stavebním řádu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(stavební zákon), ve znění pozdějších předpisů a schvaluje pořízení změny Územního plánu Žatec – úplné znění po změně č. 9 – zkráceným postupem, změna využití pozemku st. p. č. 3483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z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plochy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Občanské vybavení na plochu Bydlení kolektivní, za podmínky úplné úhrady nákladů na pořízení změny územního plánu v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souladu</w:t>
      </w:r>
    </w:p>
    <w:p w:rsidR="006E65C4" w:rsidRDefault="009615B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příslušnými ustanoveními zákona č. 183/2006 Sb., o územním plánování a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stavebním řádu (stavební zákon), ve znění pozdějších předpisů navrhovatelem.</w:t>
      </w:r>
    </w:p>
    <w:p w:rsidR="006E65C4" w:rsidRDefault="006E65C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65C4" w:rsidRDefault="009615B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Směna částí 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6E65C4" w:rsidRDefault="009615B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směnu pozemků: část pozemku zahrada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4376/1 dle GP č. 6761-028/2020 nově oddělený pozemek zahrada p. p. č. 4376/3 o výměře 14 m2 v majetku Města Žatec za část pozemku zahrada p. p. č. 4376/2, dle GP č. 6761-028/2020 nově oddělený pozemek zahrada p. p. č. 4376/4 o výměře 13 m2 v majetku Spolku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Mederova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domu IČ: 05380316,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s podmínkou uhrazení doplatku ve výši 600,00 Kč Městu Žatec před podpisem směnné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a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6E65C4" w:rsidRDefault="006E65C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65C4" w:rsidRDefault="009615B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částí pozemku p. p. č. 6008/5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3667F9" w:rsidRPr="003667F9" w:rsidRDefault="003667F9" w:rsidP="003667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revokuje usnesení č. 160/20 ze dne </w:t>
      </w:r>
      <w:proofErr w:type="gramStart"/>
      <w:r w:rsidRPr="003667F9">
        <w:rPr>
          <w:rFonts w:ascii="Times New Roman" w:hAnsi="Times New Roman" w:cs="Times New Roman"/>
          <w:color w:val="000000"/>
          <w:sz w:val="24"/>
          <w:szCs w:val="24"/>
        </w:rPr>
        <w:t>01.10.2020</w:t>
      </w:r>
      <w:proofErr w:type="gramEnd"/>
      <w:r w:rsidRPr="003667F9">
        <w:rPr>
          <w:rFonts w:ascii="Times New Roman" w:hAnsi="Times New Roman" w:cs="Times New Roman"/>
          <w:color w:val="000000"/>
          <w:sz w:val="24"/>
          <w:szCs w:val="24"/>
        </w:rPr>
        <w:t>, dále projednalo a schvaluje:</w:t>
      </w:r>
    </w:p>
    <w:p w:rsidR="003667F9" w:rsidRPr="003667F9" w:rsidRDefault="003667F9" w:rsidP="003667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ostatní plocha p. p. č. 6008/5, dle GP č. 6854-21/2021, nově vzniklý </w:t>
      </w:r>
      <w:r w:rsidRPr="003667F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pozemek: ostatní plocha p. p. č. 6008/10 o výměře 63 m2 v k. </w:t>
      </w:r>
      <w:proofErr w:type="spellStart"/>
      <w:r w:rsidRPr="003667F9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 Žatec společnosti PARKA s.r.o., IČ: 27421872 za kupní cenu 37.800,00 Kč + poplatky spojené s provedením kupní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667F9">
        <w:rPr>
          <w:rFonts w:ascii="Times New Roman" w:hAnsi="Times New Roman" w:cs="Times New Roman"/>
          <w:color w:val="000000"/>
          <w:sz w:val="24"/>
          <w:szCs w:val="24"/>
        </w:rPr>
        <w:t>mlouvy a správní poplatek katastrálnímu úřadu,</w:t>
      </w:r>
    </w:p>
    <w:p w:rsidR="003667F9" w:rsidRPr="003667F9" w:rsidRDefault="003667F9" w:rsidP="003667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7F9">
        <w:rPr>
          <w:rFonts w:ascii="Times New Roman" w:hAnsi="Times New Roman" w:cs="Times New Roman"/>
          <w:color w:val="000000"/>
          <w:sz w:val="24"/>
          <w:szCs w:val="24"/>
        </w:rPr>
        <w:t>dále</w:t>
      </w:r>
    </w:p>
    <w:p w:rsidR="003667F9" w:rsidRPr="003667F9" w:rsidRDefault="003667F9" w:rsidP="003667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ostatní plocha p. p. č. 6008/5, dle GP č. 6854-21/2021, nově vzniklý pozemek: ostatní plocha p. p. č. 6008/11 o výměře 65 m2 v k. </w:t>
      </w:r>
      <w:proofErr w:type="spellStart"/>
      <w:r w:rsidRPr="003667F9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8922F0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 za kupní cenu 39.000,00 Kč + poplatky spojené s provedením kupní smlouvy a správní poplatek katastrálnímu úřadu,</w:t>
      </w:r>
    </w:p>
    <w:p w:rsidR="003667F9" w:rsidRPr="003667F9" w:rsidRDefault="003667F9" w:rsidP="003667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7F9">
        <w:rPr>
          <w:rFonts w:ascii="Times New Roman" w:hAnsi="Times New Roman" w:cs="Times New Roman"/>
          <w:color w:val="000000"/>
          <w:sz w:val="24"/>
          <w:szCs w:val="24"/>
        </w:rPr>
        <w:t>dále</w:t>
      </w:r>
    </w:p>
    <w:p w:rsidR="003667F9" w:rsidRPr="003667F9" w:rsidRDefault="003667F9" w:rsidP="003667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ostatní plocha p. p. č. 6008/5, dle GP č. 6854-21/2021, nově vzniklý pozemek: ostatní plocha p. p. č. 6008/12 o výměře 77 m2 v k. </w:t>
      </w:r>
      <w:proofErr w:type="spellStart"/>
      <w:r w:rsidRPr="003667F9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 Žatec společnosti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3667F9">
        <w:rPr>
          <w:rFonts w:ascii="Times New Roman" w:hAnsi="Times New Roman" w:cs="Times New Roman"/>
          <w:color w:val="000000"/>
          <w:sz w:val="24"/>
          <w:szCs w:val="24"/>
        </w:rPr>
        <w:t>OLFSBERG Letecká továrna s.r.o., IČ: 26143143 za kupní cenu 46.200,00 Kč + poplatky spojené s provedením kupní smlouvy a správní poplatek katastrálnímu úřadu,</w:t>
      </w:r>
    </w:p>
    <w:p w:rsidR="003667F9" w:rsidRPr="003667F9" w:rsidRDefault="003667F9" w:rsidP="003667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7F9">
        <w:rPr>
          <w:rFonts w:ascii="Times New Roman" w:hAnsi="Times New Roman" w:cs="Times New Roman"/>
          <w:color w:val="000000"/>
          <w:sz w:val="24"/>
          <w:szCs w:val="24"/>
        </w:rPr>
        <w:t>dále</w:t>
      </w:r>
    </w:p>
    <w:p w:rsidR="003667F9" w:rsidRDefault="003667F9" w:rsidP="003667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ostatní plocha p. p. č. 6008/5, dle GP č. 6854-21/2021, nově vzniklý pozemek: ostatní plocha p. p. č. 6008/13 o výměře 83 m2 v k. </w:t>
      </w:r>
      <w:proofErr w:type="spellStart"/>
      <w:r w:rsidRPr="003667F9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 Žatec společnosti </w:t>
      </w:r>
      <w:proofErr w:type="spellStart"/>
      <w:r w:rsidRPr="003667F9">
        <w:rPr>
          <w:rFonts w:ascii="Times New Roman" w:hAnsi="Times New Roman" w:cs="Times New Roman"/>
          <w:color w:val="000000"/>
          <w:sz w:val="24"/>
          <w:szCs w:val="24"/>
        </w:rPr>
        <w:t>Aviation</w:t>
      </w:r>
      <w:proofErr w:type="spellEnd"/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 Technologies and </w:t>
      </w:r>
      <w:proofErr w:type="spellStart"/>
      <w:r w:rsidRPr="003667F9">
        <w:rPr>
          <w:rFonts w:ascii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3667F9">
        <w:rPr>
          <w:rFonts w:ascii="Times New Roman" w:hAnsi="Times New Roman" w:cs="Times New Roman"/>
          <w:color w:val="000000"/>
          <w:sz w:val="24"/>
          <w:szCs w:val="24"/>
        </w:rPr>
        <w:t xml:space="preserve"> s.r.o., IČ: 25017039 za kupní cenu 49.800,00 Kč + poplatky spojené s provedením kupní smlouvy a správní poplatek katastrálnímu úřadu.</w:t>
      </w:r>
    </w:p>
    <w:p w:rsidR="003667F9" w:rsidRDefault="003667F9" w:rsidP="003667F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15B4" w:rsidRDefault="009615B4" w:rsidP="006E65C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Financování investice: Polyfunkční a spolkové centrum – Regionální </w:t>
      </w:r>
    </w:p>
    <w:p w:rsidR="006E65C4" w:rsidRDefault="006E65C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15B4">
        <w:rPr>
          <w:rFonts w:ascii="Arial" w:hAnsi="Arial" w:cs="Arial"/>
          <w:sz w:val="24"/>
          <w:szCs w:val="24"/>
        </w:rPr>
        <w:tab/>
      </w:r>
      <w:r w:rsidR="00961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technologické centrum robotiky</w:t>
      </w:r>
    </w:p>
    <w:p w:rsidR="009615B4" w:rsidRDefault="009615B4" w:rsidP="006E65C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rozpočtové opatření v celkové výši </w:t>
      </w:r>
    </w:p>
    <w:p w:rsidR="006E65C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15.000.000,00 Kč, a to převod v rámci schváleného rozpočtu ve výši 4.500.000,00 Kč</w:t>
      </w:r>
    </w:p>
    <w:p w:rsidR="006E65C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čerpání kap. 741 – kofinancování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dotačních titulů ve výši 10.500.000,00 Kč na financování investiční akce: „Polyfunkční a spolkové centrum – Regionální technologické centrum </w:t>
      </w:r>
      <w:r w:rsidR="006E65C4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obotiky v objektu Kláštera kapucínů v Žatci a Regionální technologické centrum robotiky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objektu Kláštera kapucínů v Žatci“: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709-3639-3111,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250      + 3.500.000,00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(prodej pozemků)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2460,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107                + 1.000.000,00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(splátky půjček)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2021    - 10.500.000,00 Kč (kofinancování)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299     + 15.000.000,00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(rekonstrukce Kláštera)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tím, že starostka města, na základě zadávacího řízení na zhotovitele investiční akce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134/2016 Sb., o zadávání veřejných zakázek, ve znění pozdějších předpisů, je 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oprávněna podepsat Smlouvu o dílo s vybraným zhotovitelem na realizaci investiční akce 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podmínky, že celková cena díla včetně DPH nepřesáhne částku 80 mil. Kč. 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zajištění dofinancování investiční akce: „Polyfunkční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spolkové centrum – Regionální technologické centrum robotiky v objektu Kláštera kapucínů v Žatci a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Regionální technologické centrum robotiky v objektu Kláštera kapucínů v Žatci“, a to </w:t>
      </w: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kombinací vlastních finančních prostředků let 2022 a 2023 a cizích zdrojů prostřednictvím úvěru.</w:t>
      </w:r>
    </w:p>
    <w:p w:rsidR="00091A30" w:rsidRDefault="00091A30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15B4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99/21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Změna účelové neinvestiční a investiční dotace – Jazyková učebna s </w:t>
      </w:r>
    </w:p>
    <w:p w:rsidR="00091A30" w:rsidRDefault="00091A30" w:rsidP="00091A3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15B4">
        <w:rPr>
          <w:rFonts w:ascii="Arial" w:hAnsi="Arial" w:cs="Arial"/>
          <w:sz w:val="24"/>
          <w:szCs w:val="24"/>
        </w:rPr>
        <w:tab/>
      </w:r>
      <w:r w:rsidR="00961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novými technologiemi – ZŠ Žatec</w:t>
      </w:r>
    </w:p>
    <w:p w:rsidR="00091A30" w:rsidRDefault="009615B4" w:rsidP="00091A3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ředitele Základní školy Žatec, Komenského alej, okres Louny Mgr. Zdeňka Srpa a v návaznosti na usnesení ZM č. 108/20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25.6.2020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„Žádost o účelovou neinvestiční a investiční dotaci – Jazyková učebna s novými technologiemi – ZŠ Žatec, Komenského alej 749, okres Louny“ a dle § 10a zákona č. 250/2000 Sb., o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rozpočtových pravidlech územních rozpočtů, ve znění pozdějších předpisů schvaluje změnu výše poskytnuté dotace takto: investiční dotace ve výši 184.158,82 Kč a neinvestiční dotace ve výši 79.899,21 Kč na financování dotačního projektu „Přírodní vědy v moderním pojetí“.</w:t>
      </w:r>
    </w:p>
    <w:p w:rsidR="00091A30" w:rsidRDefault="00091A30" w:rsidP="00091A3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15B4" w:rsidRDefault="009615B4" w:rsidP="00091A3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neinvestiční a investiční dotaci – ZŠ Žatec, Petra </w:t>
      </w:r>
    </w:p>
    <w:p w:rsidR="00091A30" w:rsidRDefault="009615B4" w:rsidP="00091A3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Bezruče 2000, okres Louny</w:t>
      </w:r>
    </w:p>
    <w:p w:rsidR="009615B4" w:rsidRDefault="009615B4" w:rsidP="00091A3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ředitelky Základní školy Žatec, Petra Bezruče 2000, okres Louny Mgr. Zděnky Pejšové a v návaznosti na usnesení ZM č. 233/19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12.12.2019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„Podání žádosti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 výzvy č. 92 IROP – Infrastruktura základních škol pro uhelné regiony“ a dle § 10a zákona č. 250/2000 Sb., o rozpočtových pravidlech územních rozpočtů, ve znění pozdějších předpisů, schvaluje poskytnutí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investiční dotace ve výši 111.515,20 Kč a neinvestiční dotace ve výši 148.819,48 Kč Základní škole Žatec, Petra Bezruče 2000, okres Louny na dofinancování dotačního projektu, identifikační číslo 117D03G001727 pod názvem „Inovace přírodovědného vzdělávání“.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261.000,00 Kč, a to čerpání finančních prostředků kap. 741 – kofinancování finančních titulů na navýšení výdajů kap. 714 – účelová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investiční a neinvestiční dotace: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2021    - 261.000,00 Kč (kap. 741 – kofinancování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dotač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titul)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714-3113-6351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5501    + 112.000,00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(INV účelová dotace)</w:t>
      </w: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714-3113-5331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5501    + 149.000,00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(NIV účelová dotace).</w:t>
      </w:r>
    </w:p>
    <w:p w:rsidR="00091A30" w:rsidRDefault="00091A30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15B4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Návratná finanční výpomoc na projekt „Polytechnické vzdělávání ve 21. </w:t>
      </w:r>
    </w:p>
    <w:p w:rsidR="00091A30" w:rsidRDefault="00091A30" w:rsidP="00091A3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15B4">
        <w:rPr>
          <w:rFonts w:ascii="Arial" w:hAnsi="Arial" w:cs="Arial"/>
          <w:sz w:val="24"/>
          <w:szCs w:val="24"/>
        </w:rPr>
        <w:tab/>
      </w:r>
      <w:r w:rsidR="00961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století“ z výzvy č. 92 IROP</w:t>
      </w:r>
    </w:p>
    <w:p w:rsidR="00091A30" w:rsidRDefault="009615B4" w:rsidP="00091A3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ředitele Základní školy Žatec, Komenského alej 749, okres Louny Mgr. Zdeňka Srpa a v návaznosti na usnesení ZM č. 234/19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12.12.2019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„Podání žádosti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 výzvy č. 92 IROP – ZŠ Žatec, Komenského alej, okres Louny“</w:t>
      </w:r>
    </w:p>
    <w:p w:rsidR="009615B4" w:rsidRDefault="009615B4" w:rsidP="00091A3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dle § 10a zákona č. 250/2000 Sb., o rozpočtových pravidlech územních rozpočtů, ve znění pozdějších předpisů, schvaluje poskytnutí návratné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finanční výpomoci Základní škole Žatec, Komenského alej 749, okres Louny na předfinancování dotačního projektu pod názvem „Polytechnické vzdělávání ve 21. století“,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identifikační číslo EIS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CZ.06.2.67/0.0/0.0/19_116/0013163 v celkové výši 8.129.423,80 Kč.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Návratná finanční výpomoc po ukončení realizace projektu a po schválení závěrečné zprávy poskytovatelem dotace bude vrácena na účet zřizovatele, a to nejpozději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8.130.000,00 Kč takto: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714-3113-5331              - 8.130.000,00 Kč (rezerva kap. 714 – předfinancování)</w:t>
      </w: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714-3113-5651,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5521   + 8.130.000,00 Kč (návratná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výpomoc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91A30" w:rsidRDefault="00091A30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účelovou neinvestiční dotaci – Městské divadlo Žatec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ředitele Městského divadla Žatec Mgr. Martina Veselého a dle § 10a zákona č. 250/2000 Sb., o rozpočtových pravidlech územních rozpočtů, ve znění pozdějších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předpisů schvaluje poskytnutí neinvestiční účelové dotace ve výši 500.000,00 Kč na financování akce: „Dočesná v letním kině 2021“.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Zastupitelstvo města Žatce schvaluje rozpočtové opatření ve výši 500.000,00 Kč, a to přesun v rámci schváleného rozpočtu kap. 716 takto:</w:t>
      </w:r>
    </w:p>
    <w:p w:rsidR="008922F0" w:rsidRDefault="008922F0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Výdaje: 716-6171-5901,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283      - 500.000,00 Kč (rezerva kap. 716)</w:t>
      </w: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716-3311-5331,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2836    + 500.000,00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(divadlo – účelová dotace).</w:t>
      </w:r>
    </w:p>
    <w:p w:rsidR="00091A30" w:rsidRDefault="00091A30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Zápis z jednání finančního výboru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26.05.2021</w:t>
      </w:r>
      <w:proofErr w:type="gramEnd"/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finančního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26.05.2021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1A30" w:rsidRDefault="00091A30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Závěrečný účet Města Žatce za rok 2020 a Roční závěrka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Závěrečný účet Města Žatce za rok 2020 a vyjadřuje souhlas s celoročním hospodařením Města Žatce za rok 2020, a to bez výhrad.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nezávislého auditora o přezkoumání </w:t>
      </w:r>
    </w:p>
    <w:p w:rsidR="00091A30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hospodaření Města Žatce v roce 2020 s vyjádřením, že nebyly zjištěny žádné chyby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nedostatky.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dle ustanovení § 84 odst. 2 bod b) zákona č. 128/2000 Sb., o obcích (obecní zřízení), ve znění pozdějších předpisů, účetní závěrku Města Žatce sestavenou k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rozvahovému dni, a to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1A30" w:rsidRDefault="00091A30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Dotace pro rok 2021 – ostatní organizace, Žatecká Dočesná jinak</w:t>
      </w:r>
    </w:p>
    <w:p w:rsidR="00091A30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dle § 85 odst. c) zákona č. 128/2000 Sb., o obcích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(obecní zřízení), ve znění pozdějších předpisů, poskytnutí dotací ostatním organizacím pro rok 2021</w:t>
      </w: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rámci programu</w:t>
      </w:r>
      <w:r w:rsidR="0009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Žatecká Dočesná jinak nad 50.000,00 Kč, a to dofinancování akce dle předložené tabulky.</w:t>
      </w:r>
    </w:p>
    <w:p w:rsidR="00091A30" w:rsidRDefault="00091A30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Fond regenerace Města Žatce na rok 2021</w:t>
      </w:r>
    </w:p>
    <w:p w:rsidR="00091A30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rozdělení finančních prostředků z Fondu regenerace Města Žatce na rok 2021 dle předloženého návrhu:</w:t>
      </w:r>
    </w:p>
    <w:p w:rsidR="00091A30" w:rsidRDefault="00091A30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0F70" w:rsidRPr="00175C1C" w:rsidRDefault="00300F70" w:rsidP="00300F70">
      <w:pPr>
        <w:jc w:val="both"/>
      </w:pPr>
      <w:r w:rsidRPr="00175C1C">
        <w:t xml:space="preserve">Fond regenerace Města Žatce </w:t>
      </w:r>
      <w:r>
        <w:t>–</w:t>
      </w:r>
      <w:r w:rsidRPr="00175C1C">
        <w:t xml:space="preserve"> rok 2021</w:t>
      </w:r>
    </w:p>
    <w:p w:rsidR="00300F70" w:rsidRDefault="00300F70" w:rsidP="00300F70">
      <w:pPr>
        <w:pStyle w:val="standard"/>
        <w:suppressLineNumbers/>
        <w:tabs>
          <w:tab w:val="left" w:pos="2324"/>
          <w:tab w:val="left" w:pos="2608"/>
        </w:tabs>
        <w:ind w:left="357"/>
        <w:jc w:val="both"/>
        <w:rPr>
          <w:szCs w:val="24"/>
        </w:rPr>
      </w:pPr>
    </w:p>
    <w:tbl>
      <w:tblPr>
        <w:tblW w:w="961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1458"/>
        <w:gridCol w:w="1458"/>
        <w:gridCol w:w="1459"/>
      </w:tblGrid>
      <w:tr w:rsidR="00300F70" w:rsidRPr="0016338C" w:rsidTr="00030312">
        <w:trPr>
          <w:trHeight w:val="17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70" w:rsidRPr="0016338C" w:rsidRDefault="00300F70" w:rsidP="0003031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6338C">
              <w:rPr>
                <w:b/>
                <w:bCs/>
                <w:color w:val="000000"/>
                <w:sz w:val="21"/>
                <w:szCs w:val="21"/>
              </w:rPr>
              <w:t>Poř</w:t>
            </w:r>
            <w:proofErr w:type="spellEnd"/>
            <w:r w:rsidRPr="0016338C">
              <w:rPr>
                <w:b/>
                <w:bCs/>
                <w:color w:val="000000"/>
                <w:sz w:val="21"/>
                <w:szCs w:val="21"/>
              </w:rPr>
              <w:t>. č.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70" w:rsidRPr="0016338C" w:rsidRDefault="00300F70" w:rsidP="0003031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6338C">
              <w:rPr>
                <w:b/>
                <w:bCs/>
                <w:color w:val="000000"/>
                <w:sz w:val="21"/>
                <w:szCs w:val="21"/>
              </w:rPr>
              <w:t>Nemovitost č.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6338C">
              <w:rPr>
                <w:b/>
                <w:bCs/>
                <w:color w:val="000000"/>
                <w:sz w:val="21"/>
                <w:szCs w:val="21"/>
              </w:rPr>
              <w:t>p.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70" w:rsidRPr="0016338C" w:rsidRDefault="00300F70" w:rsidP="0003031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6338C">
              <w:rPr>
                <w:b/>
                <w:bCs/>
                <w:color w:val="000000"/>
                <w:sz w:val="21"/>
                <w:szCs w:val="21"/>
              </w:rPr>
              <w:t>Akce obnovy (popis prací)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70" w:rsidRPr="0016338C" w:rsidRDefault="00300F70" w:rsidP="0003031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6338C">
              <w:rPr>
                <w:b/>
                <w:bCs/>
                <w:color w:val="000000"/>
                <w:sz w:val="21"/>
                <w:szCs w:val="21"/>
              </w:rPr>
              <w:t>Skutečné celkové náklady na památkové práce v roce 20</w:t>
            </w:r>
            <w:r>
              <w:rPr>
                <w:b/>
                <w:bCs/>
                <w:color w:val="000000"/>
                <w:sz w:val="21"/>
                <w:szCs w:val="21"/>
              </w:rPr>
              <w:t>21</w:t>
            </w:r>
            <w:r w:rsidRPr="0016338C">
              <w:rPr>
                <w:b/>
                <w:bCs/>
                <w:color w:val="000000"/>
                <w:sz w:val="21"/>
                <w:szCs w:val="21"/>
              </w:rPr>
              <w:t xml:space="preserve"> v Kč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70" w:rsidRPr="0016338C" w:rsidRDefault="00300F70" w:rsidP="0003031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6338C">
              <w:rPr>
                <w:b/>
                <w:bCs/>
                <w:color w:val="000000"/>
                <w:sz w:val="21"/>
                <w:szCs w:val="21"/>
              </w:rPr>
              <w:t xml:space="preserve">Příspěvek města v Kč </w:t>
            </w:r>
            <w:r>
              <w:rPr>
                <w:b/>
                <w:bCs/>
                <w:color w:val="000000"/>
                <w:sz w:val="21"/>
                <w:szCs w:val="21"/>
              </w:rPr>
              <w:t>–</w:t>
            </w:r>
            <w:r w:rsidRPr="0016338C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30</w:t>
            </w:r>
            <w:r w:rsidRPr="0016338C">
              <w:rPr>
                <w:b/>
                <w:bCs/>
                <w:color w:val="000000"/>
                <w:sz w:val="21"/>
                <w:szCs w:val="21"/>
              </w:rPr>
              <w:t xml:space="preserve"> % </w:t>
            </w:r>
            <w:r>
              <w:rPr>
                <w:b/>
                <w:bCs/>
                <w:color w:val="000000"/>
                <w:sz w:val="21"/>
                <w:szCs w:val="21"/>
              </w:rPr>
              <w:t>–</w:t>
            </w:r>
            <w:r w:rsidRPr="0016338C">
              <w:rPr>
                <w:b/>
                <w:bCs/>
                <w:color w:val="000000"/>
                <w:sz w:val="21"/>
                <w:szCs w:val="21"/>
              </w:rPr>
              <w:t xml:space="preserve"> na celé tisíce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dolů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70" w:rsidRPr="0016338C" w:rsidRDefault="00300F70" w:rsidP="0003031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16338C">
              <w:rPr>
                <w:b/>
                <w:bCs/>
                <w:color w:val="000000"/>
                <w:sz w:val="21"/>
                <w:szCs w:val="21"/>
              </w:rPr>
              <w:t>Podíl vlastníka v Kč</w:t>
            </w:r>
          </w:p>
        </w:tc>
      </w:tr>
      <w:tr w:rsidR="00300F70" w:rsidRPr="0016338C" w:rsidTr="00030312">
        <w:trPr>
          <w:trHeight w:val="7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F70" w:rsidRPr="00175C1C" w:rsidRDefault="00300F70" w:rsidP="0003031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175C1C">
              <w:rPr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rPr>
                <w:color w:val="000000"/>
              </w:rPr>
            </w:pPr>
            <w:r w:rsidRPr="00175C1C">
              <w:rPr>
                <w:color w:val="000000"/>
              </w:rPr>
              <w:t>Oprava fasády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711.728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213.000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498.728</w:t>
            </w:r>
          </w:p>
        </w:tc>
      </w:tr>
      <w:tr w:rsidR="00300F70" w:rsidRPr="0016338C" w:rsidTr="00030312">
        <w:trPr>
          <w:trHeight w:val="6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F70" w:rsidRPr="00175C1C" w:rsidRDefault="00300F70" w:rsidP="0003031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175C1C">
              <w:rPr>
                <w:bCs/>
                <w:color w:val="000000"/>
                <w:sz w:val="21"/>
                <w:szCs w:val="21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311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rPr>
                <w:color w:val="000000"/>
              </w:rPr>
            </w:pPr>
            <w:r w:rsidRPr="00175C1C">
              <w:rPr>
                <w:color w:val="000000"/>
              </w:rPr>
              <w:t>Výměna střešní krytiny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1.819.292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545.000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1.274.292</w:t>
            </w:r>
          </w:p>
        </w:tc>
      </w:tr>
      <w:tr w:rsidR="00300F70" w:rsidRPr="0016338C" w:rsidTr="00030312">
        <w:trPr>
          <w:trHeight w:val="6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F70" w:rsidRPr="00175C1C" w:rsidRDefault="00300F70" w:rsidP="0003031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175C1C">
              <w:rPr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334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rPr>
                <w:color w:val="000000"/>
              </w:rPr>
            </w:pPr>
            <w:r w:rsidRPr="00175C1C">
              <w:rPr>
                <w:color w:val="000000"/>
              </w:rPr>
              <w:t>Oprava fasády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523.</w:t>
            </w:r>
            <w:r w:rsidRPr="00175C1C">
              <w:rPr>
                <w:color w:val="000000"/>
              </w:rPr>
              <w:t>832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157.</w:t>
            </w:r>
            <w:r w:rsidRPr="00175C1C">
              <w:rPr>
                <w:color w:val="000000"/>
              </w:rPr>
              <w:t>000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366.</w:t>
            </w:r>
            <w:r w:rsidRPr="00175C1C">
              <w:rPr>
                <w:color w:val="000000"/>
              </w:rPr>
              <w:t>832</w:t>
            </w:r>
          </w:p>
        </w:tc>
      </w:tr>
      <w:tr w:rsidR="00300F70" w:rsidRPr="0016338C" w:rsidTr="00030312">
        <w:trPr>
          <w:trHeight w:val="6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F70" w:rsidRPr="00175C1C" w:rsidRDefault="00300F70" w:rsidP="00030312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175C1C">
              <w:rPr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353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rPr>
                <w:color w:val="000000"/>
              </w:rPr>
            </w:pPr>
            <w:r w:rsidRPr="00175C1C">
              <w:rPr>
                <w:color w:val="000000"/>
              </w:rPr>
              <w:t>Výměna pavlačí a balkonů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414.</w:t>
            </w:r>
            <w:r w:rsidRPr="00175C1C">
              <w:rPr>
                <w:color w:val="00000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124.</w:t>
            </w:r>
            <w:r w:rsidRPr="00175C1C">
              <w:rPr>
                <w:color w:val="000000"/>
              </w:rPr>
              <w:t>000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290.</w:t>
            </w:r>
            <w:r w:rsidRPr="00175C1C">
              <w:rPr>
                <w:color w:val="000000"/>
              </w:rPr>
              <w:t>000</w:t>
            </w:r>
          </w:p>
        </w:tc>
      </w:tr>
      <w:tr w:rsidR="00300F70" w:rsidRPr="0016338C" w:rsidTr="00030312">
        <w:trPr>
          <w:trHeight w:val="9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70" w:rsidRPr="00175C1C" w:rsidRDefault="00300F70" w:rsidP="00030312">
            <w:pPr>
              <w:jc w:val="center"/>
              <w:rPr>
                <w:bCs/>
                <w:color w:val="000000"/>
              </w:rPr>
            </w:pPr>
            <w:r w:rsidRPr="00175C1C">
              <w:rPr>
                <w:bCs/>
                <w:color w:val="000000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353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F70" w:rsidRPr="00175C1C" w:rsidRDefault="00300F70" w:rsidP="00030312">
            <w:pPr>
              <w:rPr>
                <w:color w:val="000000"/>
              </w:rPr>
            </w:pPr>
            <w:r w:rsidRPr="00175C1C">
              <w:rPr>
                <w:color w:val="000000"/>
              </w:rPr>
              <w:t>Výměna oken na čelní straně domu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591.</w:t>
            </w:r>
            <w:r w:rsidRPr="00175C1C">
              <w:rPr>
                <w:color w:val="000000"/>
              </w:rPr>
              <w:t>670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177.</w:t>
            </w:r>
            <w:r w:rsidRPr="00175C1C">
              <w:rPr>
                <w:color w:val="000000"/>
              </w:rPr>
              <w:t>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414.</w:t>
            </w:r>
            <w:r w:rsidRPr="00175C1C">
              <w:rPr>
                <w:color w:val="000000"/>
              </w:rPr>
              <w:t>670</w:t>
            </w:r>
          </w:p>
        </w:tc>
      </w:tr>
      <w:tr w:rsidR="00300F70" w:rsidRPr="0016338C" w:rsidTr="00030312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70" w:rsidRPr="00175C1C" w:rsidRDefault="00300F70" w:rsidP="00030312">
            <w:pPr>
              <w:jc w:val="center"/>
              <w:rPr>
                <w:bCs/>
                <w:color w:val="000000"/>
              </w:rPr>
            </w:pPr>
            <w:r w:rsidRPr="00175C1C">
              <w:rPr>
                <w:bCs/>
                <w:color w:val="000000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358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F70" w:rsidRPr="00175C1C" w:rsidRDefault="00300F70" w:rsidP="00030312">
            <w:pPr>
              <w:rPr>
                <w:color w:val="000000"/>
              </w:rPr>
            </w:pPr>
            <w:r w:rsidRPr="00175C1C">
              <w:rPr>
                <w:color w:val="000000"/>
              </w:rPr>
              <w:t>Výměna výplní otvorů, oprava fasády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280.</w:t>
            </w:r>
            <w:r w:rsidRPr="00175C1C">
              <w:rPr>
                <w:color w:val="000000"/>
              </w:rPr>
              <w:t>104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84.</w:t>
            </w:r>
            <w:r w:rsidRPr="00175C1C">
              <w:rPr>
                <w:color w:val="000000"/>
              </w:rPr>
              <w:t>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196.</w:t>
            </w:r>
            <w:r w:rsidRPr="00175C1C">
              <w:rPr>
                <w:color w:val="000000"/>
              </w:rPr>
              <w:t>104</w:t>
            </w:r>
          </w:p>
        </w:tc>
      </w:tr>
      <w:tr w:rsidR="00300F70" w:rsidRPr="0016338C" w:rsidTr="00030312">
        <w:trPr>
          <w:trHeight w:val="5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70" w:rsidRPr="00175C1C" w:rsidRDefault="00300F70" w:rsidP="00030312">
            <w:pPr>
              <w:jc w:val="center"/>
              <w:rPr>
                <w:bCs/>
                <w:color w:val="000000"/>
              </w:rPr>
            </w:pPr>
            <w:r w:rsidRPr="00175C1C">
              <w:rPr>
                <w:bCs/>
                <w:color w:val="000000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395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rPr>
                <w:color w:val="000000"/>
              </w:rPr>
            </w:pPr>
            <w:r w:rsidRPr="00175C1C">
              <w:rPr>
                <w:color w:val="000000"/>
              </w:rPr>
              <w:t>Výměna oken v 1. NP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1.299.</w:t>
            </w:r>
            <w:r w:rsidRPr="00175C1C">
              <w:rPr>
                <w:color w:val="000000"/>
              </w:rPr>
              <w:t>850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389.</w:t>
            </w:r>
            <w:r w:rsidRPr="00175C1C">
              <w:rPr>
                <w:color w:val="000000"/>
              </w:rPr>
              <w:t>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910.</w:t>
            </w:r>
            <w:r w:rsidRPr="00175C1C">
              <w:rPr>
                <w:color w:val="000000"/>
              </w:rPr>
              <w:t>850</w:t>
            </w:r>
          </w:p>
        </w:tc>
      </w:tr>
      <w:tr w:rsidR="00300F70" w:rsidRPr="0016338C" w:rsidTr="00030312">
        <w:trPr>
          <w:trHeight w:val="6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70" w:rsidRPr="00175C1C" w:rsidRDefault="00300F70" w:rsidP="00030312">
            <w:pPr>
              <w:jc w:val="center"/>
              <w:rPr>
                <w:bCs/>
                <w:color w:val="000000"/>
              </w:rPr>
            </w:pPr>
            <w:r w:rsidRPr="00175C1C">
              <w:rPr>
                <w:bCs/>
                <w:color w:val="000000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1900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rPr>
                <w:color w:val="000000"/>
              </w:rPr>
            </w:pPr>
            <w:r w:rsidRPr="00175C1C">
              <w:rPr>
                <w:color w:val="000000"/>
              </w:rPr>
              <w:t>Výměna střešní krytiny, obnova krovů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885.</w:t>
            </w:r>
            <w:r w:rsidRPr="00175C1C">
              <w:rPr>
                <w:color w:val="000000"/>
              </w:rPr>
              <w:t>384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265.</w:t>
            </w:r>
            <w:r w:rsidRPr="00175C1C">
              <w:rPr>
                <w:color w:val="000000"/>
              </w:rPr>
              <w:t>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620.</w:t>
            </w:r>
            <w:r w:rsidRPr="00175C1C">
              <w:rPr>
                <w:color w:val="000000"/>
              </w:rPr>
              <w:t>384</w:t>
            </w:r>
          </w:p>
        </w:tc>
      </w:tr>
      <w:tr w:rsidR="00300F70" w:rsidRPr="0016338C" w:rsidTr="00030312">
        <w:trPr>
          <w:trHeight w:val="5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F70" w:rsidRPr="00175C1C" w:rsidRDefault="00300F70" w:rsidP="00030312">
            <w:pPr>
              <w:jc w:val="center"/>
              <w:rPr>
                <w:bCs/>
                <w:color w:val="000000"/>
              </w:rPr>
            </w:pPr>
            <w:r w:rsidRPr="00175C1C">
              <w:rPr>
                <w:bCs/>
                <w:color w:val="000000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 w:rsidRPr="00175C1C">
              <w:rPr>
                <w:color w:val="000000"/>
              </w:rPr>
              <w:t>2751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rPr>
                <w:color w:val="000000"/>
              </w:rPr>
            </w:pPr>
            <w:r w:rsidRPr="00175C1C">
              <w:rPr>
                <w:color w:val="000000"/>
              </w:rPr>
              <w:t>Výměna oken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107.</w:t>
            </w:r>
            <w:r w:rsidRPr="00175C1C">
              <w:rPr>
                <w:color w:val="000000"/>
              </w:rPr>
              <w:t>278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32.</w:t>
            </w:r>
            <w:r w:rsidRPr="00175C1C">
              <w:rPr>
                <w:color w:val="000000"/>
              </w:rPr>
              <w:t>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75.</w:t>
            </w:r>
            <w:r w:rsidRPr="00175C1C">
              <w:rPr>
                <w:color w:val="000000"/>
              </w:rPr>
              <w:t>278</w:t>
            </w:r>
          </w:p>
        </w:tc>
      </w:tr>
      <w:tr w:rsidR="00300F70" w:rsidRPr="0016338C" w:rsidTr="00030312">
        <w:trPr>
          <w:trHeight w:val="438"/>
        </w:trPr>
        <w:tc>
          <w:tcPr>
            <w:tcW w:w="5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F70" w:rsidRPr="00175C1C" w:rsidRDefault="00300F70" w:rsidP="00030312">
            <w:pPr>
              <w:rPr>
                <w:bCs/>
                <w:color w:val="000000"/>
              </w:rPr>
            </w:pPr>
            <w:r w:rsidRPr="00175C1C">
              <w:rPr>
                <w:bCs/>
                <w:color w:val="000000"/>
              </w:rPr>
              <w:t>Celkem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6.633.</w:t>
            </w:r>
            <w:r w:rsidRPr="00175C1C">
              <w:rPr>
                <w:bCs/>
                <w:color w:val="000000"/>
              </w:rPr>
              <w:t>138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1.986.</w:t>
            </w:r>
            <w:r w:rsidRPr="00175C1C">
              <w:rPr>
                <w:bCs/>
                <w:color w:val="000000"/>
              </w:rPr>
              <w:t>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F70" w:rsidRPr="00175C1C" w:rsidRDefault="00300F70" w:rsidP="000303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4.647.</w:t>
            </w:r>
            <w:r w:rsidRPr="00175C1C">
              <w:rPr>
                <w:bCs/>
                <w:color w:val="000000"/>
              </w:rPr>
              <w:t>138</w:t>
            </w:r>
          </w:p>
        </w:tc>
      </w:tr>
    </w:tbl>
    <w:p w:rsidR="00300F70" w:rsidRDefault="00300F70" w:rsidP="00300F70">
      <w:pPr>
        <w:pStyle w:val="standard"/>
        <w:suppressLineNumbers/>
        <w:tabs>
          <w:tab w:val="left" w:pos="2324"/>
          <w:tab w:val="left" w:pos="2608"/>
        </w:tabs>
        <w:ind w:left="357"/>
        <w:jc w:val="both"/>
        <w:rPr>
          <w:szCs w:val="24"/>
        </w:rPr>
      </w:pPr>
    </w:p>
    <w:p w:rsidR="00300F70" w:rsidRDefault="00300F70" w:rsidP="00300F70">
      <w:pPr>
        <w:pStyle w:val="standard"/>
        <w:suppressLineNumbers/>
        <w:tabs>
          <w:tab w:val="left" w:pos="2324"/>
          <w:tab w:val="left" w:pos="2608"/>
        </w:tabs>
        <w:jc w:val="both"/>
        <w:rPr>
          <w:bCs/>
          <w:szCs w:val="24"/>
        </w:rPr>
      </w:pPr>
    </w:p>
    <w:p w:rsidR="009615B4" w:rsidRDefault="009615B4" w:rsidP="00091A3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 pro poskytování návratných finančních výpomocí „Kotlíkové </w:t>
      </w:r>
    </w:p>
    <w:p w:rsidR="00300F70" w:rsidRDefault="00300F70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15B4">
        <w:rPr>
          <w:rFonts w:ascii="Arial" w:hAnsi="Arial" w:cs="Arial"/>
          <w:sz w:val="24"/>
          <w:szCs w:val="24"/>
        </w:rPr>
        <w:tab/>
      </w:r>
      <w:r w:rsidR="00961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dotace v Ústeckém kraji – 4. výzva“ – žádosti (V. část)</w:t>
      </w:r>
    </w:p>
    <w:p w:rsidR="00300F70" w:rsidRDefault="009615B4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poskytnutí návratné finanční výpomoci v rámci Programu pro poskytování návratných finančních výpomocí „Kotlíkové dotace v Ústeckém kraji – </w:t>
      </w:r>
    </w:p>
    <w:p w:rsidR="00300F70" w:rsidRDefault="009615B4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300F70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ýzva“ dle</w:t>
      </w:r>
      <w:r w:rsidR="00300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předloženého návrhu.</w:t>
      </w:r>
    </w:p>
    <w:p w:rsidR="00300F70" w:rsidRDefault="00300F70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300F70" w:rsidRPr="009179ED" w:rsidTr="00030312">
        <w:trPr>
          <w:trHeight w:val="497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300F70" w:rsidRPr="009179ED" w:rsidRDefault="00300F70" w:rsidP="00030312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Jméno žadatele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00F70" w:rsidRPr="009179ED" w:rsidRDefault="00300F70" w:rsidP="00030312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Tepelný zdroj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00F70" w:rsidRPr="009179ED" w:rsidRDefault="00300F70" w:rsidP="00030312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Výše výpomoci v Kč</w:t>
            </w:r>
          </w:p>
        </w:tc>
      </w:tr>
      <w:tr w:rsidR="00300F70" w:rsidRPr="009179ED" w:rsidTr="00030312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300F70" w:rsidRPr="009179ED" w:rsidRDefault="008922F0" w:rsidP="008922F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00F70" w:rsidRPr="009179ED" w:rsidRDefault="00300F70" w:rsidP="00030312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00F70" w:rsidRPr="009179ED" w:rsidRDefault="00300F70" w:rsidP="00030312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300F70" w:rsidRPr="009179ED" w:rsidTr="00030312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300F70" w:rsidRDefault="008922F0" w:rsidP="008922F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00F70" w:rsidRDefault="00300F70" w:rsidP="00030312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00F70" w:rsidRDefault="00300F70" w:rsidP="00030312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300F70" w:rsidRPr="009179ED" w:rsidTr="00030312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300F70" w:rsidRDefault="008922F0" w:rsidP="008922F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00F70" w:rsidRDefault="00300F70" w:rsidP="00030312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biomasa zásobník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00F70" w:rsidRDefault="00300F70" w:rsidP="00030312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300F70" w:rsidRPr="009179ED" w:rsidTr="00030312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300F70" w:rsidRDefault="008922F0" w:rsidP="008922F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00F70" w:rsidRDefault="00300F70" w:rsidP="00030312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plynový kotel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00F70" w:rsidRDefault="00300F70" w:rsidP="00030312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97.500,00</w:t>
            </w:r>
          </w:p>
        </w:tc>
      </w:tr>
    </w:tbl>
    <w:p w:rsidR="00300F70" w:rsidRDefault="00300F70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15B4" w:rsidRDefault="009615B4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na zajištění PD „Revitalizace parků v Žatci, </w:t>
      </w:r>
    </w:p>
    <w:p w:rsidR="00300F70" w:rsidRDefault="009615B4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retence vody ve městě – park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Macerka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:rsidR="009615B4" w:rsidRDefault="009615B4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rozpočtové opatření ve výši 2.000.000,00 Kč, a to čerpání finančních prostředků z investičního fondu na financování projektové dokumentace (dokumentace</w:t>
      </w:r>
      <w:r w:rsidR="00300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 stavební povolení, inženýrská činnost, prováděcí dokumentace včetně výkazu výměr a rozpočtu) akce „Revitalizace parků v Žatci, retence vody ve městě – park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Macerka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- 2.000.000,00 Kč (IF)</w:t>
      </w:r>
    </w:p>
    <w:p w:rsidR="00300F70" w:rsidRDefault="009615B4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739-3745-6121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660       + 2.000.000,00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(park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Macerka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00F70" w:rsidRDefault="00300F70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15B4" w:rsidRDefault="009615B4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Zřizovací listině příspěvkové organizace – Technické </w:t>
      </w:r>
    </w:p>
    <w:p w:rsidR="00300F70" w:rsidRDefault="00300F70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15B4">
        <w:rPr>
          <w:rFonts w:ascii="Arial" w:hAnsi="Arial" w:cs="Arial"/>
          <w:sz w:val="24"/>
          <w:szCs w:val="24"/>
        </w:rPr>
        <w:tab/>
      </w:r>
      <w:r w:rsidR="00961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služby města Žatec, </w:t>
      </w:r>
      <w:proofErr w:type="spellStart"/>
      <w:proofErr w:type="gramStart"/>
      <w:r w:rsidR="00961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p.o</w:t>
      </w:r>
      <w:proofErr w:type="spellEnd"/>
      <w:r w:rsidR="00961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300F70" w:rsidRDefault="009615B4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dodatek č. 1 ke zřizovací listině příspěvkové organizace Technické služby města Žatec, příspěvková organizace,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19.12.2016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ukládá starostce města předložený dodatek č. 1 podepsat.</w:t>
      </w:r>
    </w:p>
    <w:p w:rsidR="00300F70" w:rsidRDefault="00300F70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15B4" w:rsidRDefault="009615B4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110/21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neinvestiční dotaci – Technická správa města Žatec </w:t>
      </w:r>
    </w:p>
    <w:p w:rsidR="00300F70" w:rsidRDefault="009615B4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s.r.o.</w:t>
      </w:r>
    </w:p>
    <w:p w:rsidR="009615B4" w:rsidRDefault="009615B4" w:rsidP="00300F7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projednalo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žádost jednatele společnosti Technická správa města Žatec s.r.o., Čeradická 1014, 438 01 Žatec, IČ 227 92 830 Ing. Andreje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Greža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schvaluje poskytnutí účelové</w:t>
      </w:r>
      <w:r w:rsidR="00300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neinvestiční dotace na úhradu ztráty při provozování Otevřeného koupaliště se saunou v Žatci v roce 2020 ve výši 346.742,50 Kč.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347.000,00 Kč</w:t>
      </w: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615B4" w:rsidRDefault="009615B4" w:rsidP="009615B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- 347.000,00 Kč (čerpání RF)</w:t>
      </w:r>
    </w:p>
    <w:p w:rsidR="00300F70" w:rsidRDefault="009615B4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741-3412-5213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510         + 347.000,00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(účelová dotace koupaliště).</w:t>
      </w:r>
    </w:p>
    <w:p w:rsidR="00300F70" w:rsidRDefault="00300F70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0F70" w:rsidRDefault="009615B4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9615B4" w:rsidRDefault="009615B4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300F70" w:rsidRDefault="009615B4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20.05.2021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16.06.2021.</w:t>
      </w:r>
    </w:p>
    <w:p w:rsidR="00300F70" w:rsidRDefault="00300F70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0F70" w:rsidRDefault="00300F70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0F70" w:rsidRDefault="00300F70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0F70" w:rsidRDefault="00300F70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15B4" w:rsidRDefault="00300F70" w:rsidP="00300F7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615B4">
        <w:rPr>
          <w:rFonts w:ascii="Arial" w:hAnsi="Arial" w:cs="Arial"/>
          <w:sz w:val="24"/>
          <w:szCs w:val="24"/>
        </w:rPr>
        <w:tab/>
      </w:r>
      <w:r w:rsidR="00961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9615B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15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9615B4" w:rsidRDefault="009615B4" w:rsidP="00300F70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8922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8922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8922F0" w:rsidRDefault="008922F0" w:rsidP="00300F70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22F0" w:rsidRDefault="008922F0" w:rsidP="00300F70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22F0" w:rsidRDefault="008922F0" w:rsidP="00300F70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4559" w:rsidRDefault="002A4559" w:rsidP="002A4559">
      <w:pPr>
        <w:pStyle w:val="Nadpis1"/>
      </w:pPr>
      <w:r>
        <w:t>Za správnost vyhotovení: Pavlína Kloučková</w:t>
      </w:r>
    </w:p>
    <w:p w:rsidR="002A4559" w:rsidRDefault="002A4559" w:rsidP="002A4559">
      <w:pPr>
        <w:jc w:val="both"/>
        <w:rPr>
          <w:sz w:val="24"/>
        </w:rPr>
      </w:pPr>
    </w:p>
    <w:p w:rsidR="002A4559" w:rsidRDefault="002A4559" w:rsidP="002A4559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</w:p>
    <w:p w:rsidR="008922F0" w:rsidRDefault="008922F0" w:rsidP="00300F70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bookmarkStart w:id="0" w:name="_GoBack"/>
      <w:bookmarkEnd w:id="0"/>
    </w:p>
    <w:sectPr w:rsidR="008922F0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B1" w:rsidRDefault="00CC68B1" w:rsidP="00CC68B1">
      <w:pPr>
        <w:spacing w:after="0" w:line="240" w:lineRule="auto"/>
      </w:pPr>
      <w:r>
        <w:separator/>
      </w:r>
    </w:p>
  </w:endnote>
  <w:endnote w:type="continuationSeparator" w:id="0">
    <w:p w:rsidR="00CC68B1" w:rsidRDefault="00CC68B1" w:rsidP="00CC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6974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C68B1" w:rsidRDefault="00CC68B1" w:rsidP="00CC68B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EB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5EB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68B1" w:rsidRDefault="00CC68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B1" w:rsidRDefault="00CC68B1" w:rsidP="00CC68B1">
      <w:pPr>
        <w:spacing w:after="0" w:line="240" w:lineRule="auto"/>
      </w:pPr>
      <w:r>
        <w:separator/>
      </w:r>
    </w:p>
  </w:footnote>
  <w:footnote w:type="continuationSeparator" w:id="0">
    <w:p w:rsidR="00CC68B1" w:rsidRDefault="00CC68B1" w:rsidP="00CC6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B4"/>
    <w:rsid w:val="000010B6"/>
    <w:rsid w:val="00091A30"/>
    <w:rsid w:val="002A4559"/>
    <w:rsid w:val="00300F70"/>
    <w:rsid w:val="003667F9"/>
    <w:rsid w:val="006E65C4"/>
    <w:rsid w:val="008922F0"/>
    <w:rsid w:val="008B5EB2"/>
    <w:rsid w:val="009615B4"/>
    <w:rsid w:val="00B07CCC"/>
    <w:rsid w:val="00CC68B1"/>
    <w:rsid w:val="00FC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A455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68B1"/>
  </w:style>
  <w:style w:type="paragraph" w:styleId="Zpat">
    <w:name w:val="footer"/>
    <w:basedOn w:val="Normln"/>
    <w:link w:val="ZpatChar"/>
    <w:uiPriority w:val="99"/>
    <w:unhideWhenUsed/>
    <w:rsid w:val="00CC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68B1"/>
  </w:style>
  <w:style w:type="paragraph" w:customStyle="1" w:styleId="standard">
    <w:name w:val="standard"/>
    <w:link w:val="standardChar"/>
    <w:rsid w:val="00300F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300F7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A4559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2A4559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A4559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A455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68B1"/>
  </w:style>
  <w:style w:type="paragraph" w:styleId="Zpat">
    <w:name w:val="footer"/>
    <w:basedOn w:val="Normln"/>
    <w:link w:val="ZpatChar"/>
    <w:uiPriority w:val="99"/>
    <w:unhideWhenUsed/>
    <w:rsid w:val="00CC6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68B1"/>
  </w:style>
  <w:style w:type="paragraph" w:customStyle="1" w:styleId="standard">
    <w:name w:val="standard"/>
    <w:link w:val="standardChar"/>
    <w:rsid w:val="00300F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300F7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A4559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2A4559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A4559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55D88-F76D-429B-B37E-FBF64128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2667</Words>
  <Characters>15863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2021-06-25T07:54:00Z</cp:lastPrinted>
  <dcterms:created xsi:type="dcterms:W3CDTF">2021-06-25T07:28:00Z</dcterms:created>
  <dcterms:modified xsi:type="dcterms:W3CDTF">2021-06-25T07:57:00Z</dcterms:modified>
</cp:coreProperties>
</file>