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C8F" w:rsidRDefault="00162C8F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162C8F" w:rsidRDefault="00162C8F">
      <w:pPr>
        <w:widowControl w:val="0"/>
        <w:tabs>
          <w:tab w:val="left" w:pos="2097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0512455" wp14:editId="13EB887B">
            <wp:simplePos x="0" y="0"/>
            <wp:positionH relativeFrom="column">
              <wp:posOffset>2194560</wp:posOffset>
            </wp:positionH>
            <wp:positionV relativeFrom="paragraph">
              <wp:posOffset>107315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162C8F" w:rsidRDefault="00162C8F">
      <w:pPr>
        <w:widowControl w:val="0"/>
        <w:tabs>
          <w:tab w:val="right" w:pos="3086"/>
          <w:tab w:val="right" w:pos="3414"/>
          <w:tab w:val="left" w:pos="3504"/>
        </w:tabs>
        <w:autoSpaceDE w:val="0"/>
        <w:autoSpaceDN w:val="0"/>
        <w:adjustRightInd w:val="0"/>
        <w:spacing w:before="334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Rady města Žatce </w:t>
      </w:r>
    </w:p>
    <w:p w:rsidR="00162C8F" w:rsidRDefault="00162C8F">
      <w:pPr>
        <w:widowControl w:val="0"/>
        <w:tabs>
          <w:tab w:val="left" w:pos="3231"/>
          <w:tab w:val="left" w:pos="4762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konané dne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20.12.2021</w:t>
      </w:r>
      <w:proofErr w:type="gramEnd"/>
    </w:p>
    <w:p w:rsidR="00162C8F" w:rsidRDefault="00162C8F">
      <w:pPr>
        <w:widowControl w:val="0"/>
        <w:tabs>
          <w:tab w:val="left" w:pos="90"/>
          <w:tab w:val="left" w:pos="1420"/>
          <w:tab w:val="left" w:pos="2607"/>
          <w:tab w:val="left" w:pos="2834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934 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987 /21</w:t>
      </w:r>
    </w:p>
    <w:p w:rsidR="00162C8F" w:rsidRDefault="00162C8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934/21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162C8F" w:rsidRDefault="00162C8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935/21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</w:t>
      </w:r>
    </w:p>
    <w:p w:rsidR="00162C8F" w:rsidRDefault="00162C8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936/21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Rozpočtové opatření – sociální služby 2022 – Kamarád – LORM</w:t>
      </w:r>
    </w:p>
    <w:p w:rsidR="00162C8F" w:rsidRDefault="00162C8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937/21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Rozpočtové opatření – sociální služby 2022 – DPS a PS v Žatci</w:t>
      </w:r>
    </w:p>
    <w:p w:rsidR="00162C8F" w:rsidRDefault="00162C8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938/21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Rozpočtové opatření – příspěvky Úřadu práce ČR</w:t>
      </w:r>
    </w:p>
    <w:p w:rsidR="00162C8F" w:rsidRDefault="00162C8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939/21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Rozpočtové opatření – příspěvek Úřadu práce ČR</w:t>
      </w:r>
    </w:p>
    <w:p w:rsidR="00162C8F" w:rsidRDefault="00162C8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940/21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Rozpočtové opatření – NIV dotace na činnost JSDH 2021</w:t>
      </w:r>
    </w:p>
    <w:p w:rsidR="00162C8F" w:rsidRDefault="00162C8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941/21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Rozpočtové opatření – DPH</w:t>
      </w:r>
    </w:p>
    <w:p w:rsidR="00162C8F" w:rsidRDefault="00162C8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942/21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Změna odpisového plánu r. 2021 – Městská knihovna Žatec</w:t>
      </w:r>
    </w:p>
    <w:p w:rsidR="00162C8F" w:rsidRDefault="00162C8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943/21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Snížení provozního příspěvku zřizovatele – Městská knihovna Žatec</w:t>
      </w:r>
    </w:p>
    <w:p w:rsidR="00162C8F" w:rsidRDefault="00162C8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944/21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Snížení provozního příspěvku zřizovatele – Městské divadlo Žatec</w:t>
      </w:r>
    </w:p>
    <w:p w:rsidR="00162C8F" w:rsidRDefault="00162C8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945/21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Přijetí finančního daru účelově určeného v rámci projektu Obědy pro děti – </w:t>
      </w:r>
    </w:p>
    <w:p w:rsidR="00162C8F" w:rsidRDefault="00162C8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ZŠ Komenského alej</w:t>
      </w:r>
    </w:p>
    <w:p w:rsidR="00162C8F" w:rsidRDefault="00162C8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946/21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Přijetí finančního daru účelově určeného v rámci projektu Obědy pro děti – </w:t>
      </w:r>
    </w:p>
    <w:p w:rsidR="00162C8F" w:rsidRDefault="00162C8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ZŠ nám. 28. října 1019, Žatec</w:t>
      </w:r>
    </w:p>
    <w:p w:rsidR="00162C8F" w:rsidRDefault="00162C8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947/21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Přijetí věcného daru – Městské divadlo Žatec</w:t>
      </w:r>
    </w:p>
    <w:p w:rsidR="00162C8F" w:rsidRDefault="00162C8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948/21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Pojistná smlouva č. 7721133790 s pojišťovnou Kooperativa, a.s. IČ: </w:t>
      </w:r>
    </w:p>
    <w:p w:rsidR="00162C8F" w:rsidRDefault="00162C8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47116617 – Dodatek č. 6</w:t>
      </w:r>
    </w:p>
    <w:p w:rsidR="00162C8F" w:rsidRDefault="00162C8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949/21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Účelová neinvestiční dotace – Český svaz včelařů Žatec</w:t>
      </w:r>
    </w:p>
    <w:p w:rsidR="00162C8F" w:rsidRDefault="00162C8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950/21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Dohoda o narovnání – Ing. Alena Hlávková</w:t>
      </w:r>
    </w:p>
    <w:p w:rsidR="00162C8F" w:rsidRDefault="00162C8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951/21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Informace o investičních akcích odboru rozvoje města v realizaci v roce </w:t>
      </w:r>
    </w:p>
    <w:p w:rsidR="00162C8F" w:rsidRDefault="00162C8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2021</w:t>
      </w:r>
    </w:p>
    <w:p w:rsidR="00162C8F" w:rsidRDefault="00162C8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952/21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Rozpočtové opatření – vybudování veřejného osvětlení v ul. U Oharky v </w:t>
      </w:r>
    </w:p>
    <w:p w:rsidR="00162C8F" w:rsidRDefault="00162C8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Žatci</w:t>
      </w:r>
    </w:p>
    <w:p w:rsidR="00162C8F" w:rsidRDefault="00162C8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953/21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Rozpočtové opatření – „Obnova Nerudova náměstí v Žatci – 2. etapa“</w:t>
      </w:r>
    </w:p>
    <w:p w:rsidR="00162C8F" w:rsidRDefault="00162C8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954/21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Rozpočtové opatření – „Páteřní cyklostezka Ohře trasa Litoměřice – (Boč) </w:t>
      </w:r>
    </w:p>
    <w:p w:rsidR="00162C8F" w:rsidRDefault="00162C8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– Perštejn úsek č. 1“</w:t>
      </w:r>
    </w:p>
    <w:p w:rsidR="00162C8F" w:rsidRDefault="00162C8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955/21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Dohoda o zániku Smlouvy o úpravách a provozování veřejného osvětlení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</w:p>
    <w:p w:rsidR="00162C8F" w:rsidRDefault="00162C8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p. p. č. 6903/7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29.05.2014</w:t>
      </w:r>
      <w:proofErr w:type="gramEnd"/>
    </w:p>
    <w:p w:rsidR="00162C8F" w:rsidRDefault="00162C8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956/21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Dodatek č. 2 ke Smlouvě o dílo na realizaci veřejné zakázky s názvem: </w:t>
      </w:r>
    </w:p>
    <w:p w:rsidR="00162C8F" w:rsidRDefault="00162C8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„Obnova Husitského náměstí v Žatci“</w:t>
      </w:r>
    </w:p>
    <w:p w:rsidR="00162C8F" w:rsidRDefault="00162C8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957/21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Dodatek č. 1 ke Smlouvě o dílo na realizaci veřejné zakázky s názvem: </w:t>
      </w:r>
    </w:p>
    <w:p w:rsidR="00162C8F" w:rsidRDefault="00162C8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„Parkování za objektem DPS v ulici U Hřiště, Žatec“</w:t>
      </w:r>
    </w:p>
    <w:p w:rsidR="00162C8F" w:rsidRDefault="00162C8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958/21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Obnova městského hřbitova v Žatci – zadání studie</w:t>
      </w:r>
    </w:p>
    <w:p w:rsidR="00162C8F" w:rsidRDefault="00162C8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959/21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Dodatek č. 1 akce „Polyfunkční a spolkové centrum – Regionální </w:t>
      </w:r>
    </w:p>
    <w:p w:rsidR="00162C8F" w:rsidRDefault="00162C8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technologické centrum robotiky“</w:t>
      </w:r>
    </w:p>
    <w:p w:rsidR="00162C8F" w:rsidRDefault="00162C8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960/21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„Dodávka sanitního vozu VWT6i pro Nemocnici Žatec – návrh Dodatku č. </w:t>
      </w:r>
    </w:p>
    <w:p w:rsidR="00162C8F" w:rsidRDefault="00162C8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 ke Kupní smlouvě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08.07.2021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</w:p>
    <w:p w:rsidR="00162C8F" w:rsidRDefault="00162C8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961/21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Výběr zhotovitele – „Regenerace objektu bývalých papíren v Žatci – </w:t>
      </w:r>
    </w:p>
    <w:p w:rsidR="00162C8F" w:rsidRDefault="00162C8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Vybudování a vybavení městského archivu a kuželny“</w:t>
      </w:r>
    </w:p>
    <w:p w:rsidR="00162C8F" w:rsidRDefault="00162C8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962/21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Dohoda o zániku Smlouvy o poskytování služeb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12.03.2020</w:t>
      </w:r>
      <w:proofErr w:type="gramEnd"/>
    </w:p>
    <w:p w:rsidR="00162C8F" w:rsidRDefault="00162C8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963/21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 ze zasedání představenstva společnosti Žatecká teplárenská, a.s.</w:t>
      </w:r>
    </w:p>
    <w:p w:rsidR="00162C8F" w:rsidRDefault="00162C8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964/21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 ze zasedání dozorčí rady společnosti Žatecká teplárenská, a.s.</w:t>
      </w:r>
    </w:p>
    <w:p w:rsidR="00162C8F" w:rsidRDefault="00162C8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965/21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Rozpočtové opatření – navýšení výdajů kapitoly úklid a údržba města</w:t>
      </w:r>
    </w:p>
    <w:p w:rsidR="00162C8F" w:rsidRDefault="00162C8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966/21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Zřízení vyhrazeného parkovacího místa – udělení výjimky</w:t>
      </w:r>
    </w:p>
    <w:p w:rsidR="00162C8F" w:rsidRDefault="00162C8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967/21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Žádost spol.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Real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Czech Republic s.r.o.</w:t>
      </w:r>
    </w:p>
    <w:p w:rsidR="00162C8F" w:rsidRDefault="00162C8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968/21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Záměr prodat vozidlo tovární zn. LADOG typ G 129 včetně výměnných </w:t>
      </w:r>
    </w:p>
    <w:p w:rsidR="00162C8F" w:rsidRDefault="00162C8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nástaveb</w:t>
      </w:r>
    </w:p>
    <w:p w:rsidR="00162C8F" w:rsidRDefault="00162C8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969/21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Prodloužení nájemní smlouvy</w:t>
      </w:r>
    </w:p>
    <w:p w:rsidR="00162C8F" w:rsidRDefault="00162C8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970/21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Uzavření nájemní smlouvy</w:t>
      </w:r>
    </w:p>
    <w:p w:rsidR="00162C8F" w:rsidRDefault="00162C8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971/21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Směna části pozemku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Bezděkov u Žatce</w:t>
      </w:r>
    </w:p>
    <w:p w:rsidR="00162C8F" w:rsidRDefault="00162C8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972/21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zřízení věcného břemene – stavba „Žatec, Husova, p. p. č. </w:t>
      </w:r>
    </w:p>
    <w:p w:rsidR="00162C8F" w:rsidRDefault="00162C8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5628/84, vodovod a kanalizace BD, č. stavby LN 085 230“</w:t>
      </w:r>
    </w:p>
    <w:p w:rsidR="00162C8F" w:rsidRDefault="00162C8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973/21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zřízení věcného břemene – stavba „Žatec, Husova, p. p. č. </w:t>
      </w:r>
    </w:p>
    <w:p w:rsidR="00162C8F" w:rsidRDefault="00162C8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5628/84, vodovod a kanalizace BD, č. stavby LN 085 234“</w:t>
      </w:r>
    </w:p>
    <w:p w:rsidR="00162C8F" w:rsidRDefault="00162C8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974/21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zřízení věcného břemene – stavba „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LN_Radíčeves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1xOM“</w:t>
      </w:r>
    </w:p>
    <w:p w:rsidR="00162C8F" w:rsidRDefault="00162C8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975/21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zřízení věcného břemene – stavba „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LN_Žatec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č.parc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720/8“</w:t>
      </w:r>
    </w:p>
    <w:p w:rsidR="00162C8F" w:rsidRDefault="00162C8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976/21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zřízení věcného břemene – stavba „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LN_Žatec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ppč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., 3847“</w:t>
      </w:r>
    </w:p>
    <w:p w:rsidR="00162C8F" w:rsidRDefault="00162C8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977/21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zřízení věcného břemene – stavba „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LN_Žatec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Čeradická“</w:t>
      </w:r>
    </w:p>
    <w:p w:rsidR="00162C8F" w:rsidRDefault="00162C8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978/21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Bytové otázky</w:t>
      </w:r>
    </w:p>
    <w:p w:rsidR="00162C8F" w:rsidRDefault="00162C8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979/21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Stanovy Žatecké regionální nemocnice, a.s.</w:t>
      </w:r>
    </w:p>
    <w:p w:rsidR="00162C8F" w:rsidRDefault="00162C8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980/21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Souhlas s čerpáním fondu investic – PO Domov pro seniory a Pečovatelská </w:t>
      </w:r>
    </w:p>
    <w:p w:rsidR="00162C8F" w:rsidRDefault="00162C8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služba v Žatci</w:t>
      </w:r>
    </w:p>
    <w:p w:rsidR="00162C8F" w:rsidRDefault="00162C8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981/21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Změna odpisového plánu pro rok 2021 – PO Kamarád LORM</w:t>
      </w:r>
    </w:p>
    <w:p w:rsidR="00162C8F" w:rsidRDefault="00162C8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982/21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Kamarád LORM – snížení příspěvku zřizovatele</w:t>
      </w:r>
    </w:p>
    <w:p w:rsidR="00162C8F" w:rsidRDefault="00162C8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983/21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BESIP</w:t>
      </w:r>
    </w:p>
    <w:p w:rsidR="00162C8F" w:rsidRDefault="00162C8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984/21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umístění zařízení MKDS</w:t>
      </w:r>
    </w:p>
    <w:p w:rsidR="00162C8F" w:rsidRDefault="00162C8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985/21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Úprava platových výměrů ředitelů příspěvkových organizací zřizovaných </w:t>
      </w:r>
    </w:p>
    <w:p w:rsidR="00162C8F" w:rsidRDefault="00162C8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městem Žatec 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01.01.2022</w:t>
      </w:r>
      <w:proofErr w:type="gramEnd"/>
    </w:p>
    <w:p w:rsidR="00162C8F" w:rsidRDefault="00162C8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986/21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Souběh pracovních poměrů na pozici Stavební administrativa</w:t>
      </w:r>
    </w:p>
    <w:p w:rsidR="00162C8F" w:rsidRDefault="00162C8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987/21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Zápisy z jednání komise pro architekturu a regeneraci města Žatce</w:t>
      </w:r>
    </w:p>
    <w:p w:rsidR="00255FC0" w:rsidRDefault="00255FC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55FC0" w:rsidRDefault="00255FC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55FC0" w:rsidRDefault="00255FC0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934/21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162C8F" w:rsidRDefault="00255FC0" w:rsidP="00162C8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program jednání rady města.</w:t>
      </w:r>
    </w:p>
    <w:p w:rsidR="00255FC0" w:rsidRDefault="00162C8F" w:rsidP="00162C8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55FC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255FC0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255FC0">
        <w:rPr>
          <w:rFonts w:ascii="Times New Roman" w:hAnsi="Times New Roman" w:cs="Times New Roman"/>
          <w:color w:val="000000"/>
          <w:sz w:val="20"/>
          <w:szCs w:val="20"/>
        </w:rPr>
        <w:t>20.12.2021</w:t>
      </w:r>
      <w:proofErr w:type="gramEnd"/>
    </w:p>
    <w:p w:rsidR="00255FC0" w:rsidRDefault="00255FC0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FD627C" w:rsidRDefault="00FD627C" w:rsidP="00FD627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/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</w:tbl>
    <w:p w:rsidR="00FD627C" w:rsidRDefault="00FD627C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55FC0" w:rsidRDefault="00255FC0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935/21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kontrolu usnesení z minulých jednání rady </w:t>
      </w:r>
    </w:p>
    <w:p w:rsidR="00162C8F" w:rsidRDefault="00255FC0" w:rsidP="00162C8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města.</w:t>
      </w:r>
    </w:p>
    <w:p w:rsidR="00255FC0" w:rsidRDefault="00162C8F" w:rsidP="00162C8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255FC0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255FC0">
        <w:rPr>
          <w:rFonts w:ascii="Times New Roman" w:hAnsi="Times New Roman" w:cs="Times New Roman"/>
          <w:color w:val="000000"/>
          <w:sz w:val="20"/>
          <w:szCs w:val="20"/>
        </w:rPr>
        <w:t>20.12.2021</w:t>
      </w:r>
      <w:proofErr w:type="gramEnd"/>
    </w:p>
    <w:p w:rsidR="00255FC0" w:rsidRDefault="00255FC0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FD627C" w:rsidRDefault="00FD627C" w:rsidP="00FD627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/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</w:tbl>
    <w:p w:rsidR="00FD627C" w:rsidRDefault="00FD627C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55FC0" w:rsidRDefault="00255FC0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936/21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Rozpočtové opatření – sociální služby 2022 – Kamarád – LORM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rozpočtové opatření ve výši 132.000,00 Kč, a to 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zapojení účelové neinvestiční dotace do rozpočtu města.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00193 – neinvestiční účelová dotace pro příspěvkovou organizaci Kamarád 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LORM, Zeyerova 859, Žatec poskytnutá z rozpočtu Ústeckého kraje na poskytování</w:t>
      </w:r>
      <w:r w:rsidR="00162C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sociální služby v programu „Podpora Ústeckého kraje na sociální služby 2022 – malý dotační program“ ve výši 131.450,00 Kč.</w:t>
      </w:r>
    </w:p>
    <w:p w:rsidR="00255FC0" w:rsidRDefault="00255FC0" w:rsidP="00255F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31.12.2021</w:t>
      </w:r>
      <w:proofErr w:type="gramEnd"/>
    </w:p>
    <w:p w:rsidR="00255FC0" w:rsidRDefault="00255FC0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D627C" w:rsidRDefault="00FD627C" w:rsidP="00FD627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/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</w:tbl>
    <w:p w:rsidR="00FD627C" w:rsidRDefault="00FD627C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55FC0" w:rsidRDefault="00255FC0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937/21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Rozpočtové opatření – sociální služby 2022 – DPS a PS v Žatci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rozpočtové opatření ve výši 217.000,00 Kč, a to 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zapojení účelové neinvestiční dotace do rozpočtu města. Rozpočtové opatření bude platné 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 chvíli přijetí finančních prostředků na účet města.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00193 – neinvestiční účelová dotace pro příspěvkovou organizaci Domov 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 seniory a Pečovatelská služba v Žatci poskytnutá z rozpočtu Ústeckého kraje na poskytování sociální služby v programu „Podpora Ústeckého kraje na sociální služby 2022 – malý dotační program“ ve výši 216.380,00 Kč.</w:t>
      </w:r>
    </w:p>
    <w:p w:rsidR="00255FC0" w:rsidRDefault="00255FC0" w:rsidP="00255F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0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31.12.2021</w:t>
      </w:r>
      <w:proofErr w:type="gramEnd"/>
    </w:p>
    <w:p w:rsidR="00255FC0" w:rsidRDefault="00255FC0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D627C" w:rsidRDefault="00FD627C" w:rsidP="00FD627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/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</w:tbl>
    <w:p w:rsidR="00FD627C" w:rsidRDefault="00FD627C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55FC0" w:rsidRDefault="00255FC0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225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938/21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Rozpočtové opatření – příspěvky Úřadu práce ČR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rozpočtové opatření v celkové výši 30.000,00 Kč,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to zapojení finančních příspěvků Úřadu práce ČR do rozpočtu města.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Účelový znak 13 101 – finanční příspěvky Úřadu práce ČR na vytvoření pracovních příležitostí v rámci veřejně prospěšných prací v celkové výši 30.000,00 Kč.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Příjmy: 4116-ÚZ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13 101                   + 30.000,00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(příjem příspěvků)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719-6171-5011-ÚZ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13 101        + 23.000,00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(kap. 719 – hrubé mzdy)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719-6171-5031-ÚZ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13 101        +  5.000,00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(kap. 719 – soc. poj.)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719-6171-5032-ÚZ 13 101        +  2.000,00 Kč (kap. 719 – zdrav.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poj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.).</w:t>
      </w:r>
    </w:p>
    <w:p w:rsidR="00255FC0" w:rsidRDefault="00255FC0" w:rsidP="00255F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4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31.12.2021</w:t>
      </w:r>
      <w:proofErr w:type="gramEnd"/>
    </w:p>
    <w:p w:rsidR="00255FC0" w:rsidRDefault="00255FC0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FD627C" w:rsidTr="00FD627C">
        <w:tc>
          <w:tcPr>
            <w:tcW w:w="1203" w:type="dxa"/>
            <w:shd w:val="clear" w:color="auto" w:fill="auto"/>
          </w:tcPr>
          <w:p w:rsidR="00FD627C" w:rsidRDefault="00FD627C" w:rsidP="00FD627C"/>
        </w:tc>
        <w:tc>
          <w:tcPr>
            <w:tcW w:w="840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hlasů</w:t>
            </w:r>
          </w:p>
        </w:tc>
        <w:tc>
          <w:tcPr>
            <w:tcW w:w="1409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Hamousová</w:t>
            </w:r>
          </w:p>
        </w:tc>
        <w:tc>
          <w:tcPr>
            <w:tcW w:w="1012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8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Špička</w:t>
            </w:r>
          </w:p>
        </w:tc>
        <w:tc>
          <w:tcPr>
            <w:tcW w:w="98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Frýba</w:t>
            </w:r>
          </w:p>
        </w:tc>
        <w:tc>
          <w:tcPr>
            <w:tcW w:w="970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99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D627C" w:rsidTr="00FD627C">
        <w:tc>
          <w:tcPr>
            <w:tcW w:w="1203" w:type="dxa"/>
            <w:shd w:val="clear" w:color="auto" w:fill="auto"/>
          </w:tcPr>
          <w:p w:rsidR="00FD627C" w:rsidRDefault="00FD627C" w:rsidP="00FD627C">
            <w:r>
              <w:t>pro</w:t>
            </w:r>
          </w:p>
        </w:tc>
        <w:tc>
          <w:tcPr>
            <w:tcW w:w="840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5</w:t>
            </w:r>
          </w:p>
        </w:tc>
        <w:tc>
          <w:tcPr>
            <w:tcW w:w="1409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1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8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8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  <w:tc>
          <w:tcPr>
            <w:tcW w:w="970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</w:tr>
      <w:tr w:rsidR="00FD627C" w:rsidTr="00FD627C">
        <w:tc>
          <w:tcPr>
            <w:tcW w:w="1203" w:type="dxa"/>
            <w:shd w:val="clear" w:color="auto" w:fill="auto"/>
          </w:tcPr>
          <w:p w:rsidR="00FD627C" w:rsidRDefault="00FD627C" w:rsidP="00FD627C">
            <w:r>
              <w:t>proti</w:t>
            </w:r>
          </w:p>
        </w:tc>
        <w:tc>
          <w:tcPr>
            <w:tcW w:w="840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09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1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  <w:tr w:rsidR="00FD627C" w:rsidTr="00FD627C">
        <w:tc>
          <w:tcPr>
            <w:tcW w:w="1203" w:type="dxa"/>
            <w:shd w:val="clear" w:color="auto" w:fill="auto"/>
          </w:tcPr>
          <w:p w:rsidR="00FD627C" w:rsidRDefault="00FD627C" w:rsidP="00FD627C">
            <w:r>
              <w:t>zdržel se</w:t>
            </w:r>
          </w:p>
        </w:tc>
        <w:tc>
          <w:tcPr>
            <w:tcW w:w="840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09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1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</w:tbl>
    <w:p w:rsidR="00FD627C" w:rsidRDefault="00FD627C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55FC0" w:rsidRDefault="00255FC0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939/21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Rozpočtové opatření – příspěvek Úřadu práce ČR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rozpočtové opatření ve výši 15.000,00 Kč, a to 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zapojení finančního příspěvku Úřadu práce ČR do rozpočtu města. Rozpočtové opatření bude platné ve chvíli přijetí finančních prostředků na účet města.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Účelový znak 13 101 – finanční příspěvek Úřadu práce ČR na vytvoření pracovních příležitostí v rámci veřejně prospěšných prací ve výši 15.000,00 Kč.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Příjmy: 4116-ÚZ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13 101               + 15.000,00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(příjem příspěvku)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719-6171-5011-ÚZ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13 101    + 11.000,00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(kap. 719 – hrubé mzdy)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719-6171-5031-ÚZ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13 101    +  3.000,00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(kap. 719 – soc. poj.)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719-6171-5032-ÚZ 13 101    +  1.000,00 Kč (kap. 719 – zdrav.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poj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.).</w:t>
      </w:r>
    </w:p>
    <w:p w:rsidR="00255FC0" w:rsidRDefault="00255FC0" w:rsidP="00255F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5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31.12.2021</w:t>
      </w:r>
      <w:proofErr w:type="gramEnd"/>
    </w:p>
    <w:p w:rsidR="00255FC0" w:rsidRDefault="00255FC0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D627C" w:rsidRDefault="00FD627C" w:rsidP="00FD627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/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</w:tbl>
    <w:p w:rsidR="00FD627C" w:rsidRDefault="00FD627C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55FC0" w:rsidRDefault="00255FC0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940/21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Rozpočtové opatření – NIV dotace na činnost JSDH 2021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rozpočtové opatření ve výši 48.000,00 Kč, a to 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zapojení účelové neinvestiční dotace do rozpočtu města. Rozpočtové opatření bude platné 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 chvíli přijetí finančních prostředků na účet města.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Účelový znak 14 004 – neinvestiční účelová dotace Ministerstva vnitra ČR na výdaje jednotek Sboru dobrovolných hasičů obcí na rok 2021 ve výši 47.699,00 Kč.</w:t>
      </w:r>
    </w:p>
    <w:p w:rsidR="00255FC0" w:rsidRDefault="00255FC0" w:rsidP="00255F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31.12.2021</w:t>
      </w:r>
      <w:proofErr w:type="gramEnd"/>
    </w:p>
    <w:p w:rsidR="00255FC0" w:rsidRDefault="00255FC0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D627C" w:rsidRDefault="00FD627C" w:rsidP="00FD627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/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</w:tbl>
    <w:p w:rsidR="00162C8F" w:rsidRDefault="00162C8F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</w:pPr>
    </w:p>
    <w:p w:rsidR="00255FC0" w:rsidRDefault="00255FC0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941/21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Rozpočtové opatření – DPH</w:t>
      </w:r>
    </w:p>
    <w:p w:rsidR="00255FC0" w:rsidRDefault="00255FC0" w:rsidP="00162C8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rozpočtové opatření v celkové výši 500.000,00 Kč na navýšení výdajů kapitoly 741 – platby daní a poplatků státnímu rozpočtu, a to takto: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741-6399-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5362              + 500.000,00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(platba daní SR)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714-3111-5171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2225    -</w:t>
      </w:r>
      <w:r w:rsidR="00162C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316.000,00 Kč (MŠ U Jezu – elektroinstalace)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716-3322-6121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299     - </w:t>
      </w:r>
      <w:r w:rsidR="00162C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184.000,00 Kč (Kapucínský klášter).</w:t>
      </w:r>
    </w:p>
    <w:p w:rsidR="00255FC0" w:rsidRDefault="00255FC0" w:rsidP="00255F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31.12.2021</w:t>
      </w:r>
      <w:proofErr w:type="gramEnd"/>
    </w:p>
    <w:p w:rsidR="00255FC0" w:rsidRDefault="00255FC0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D627C" w:rsidRDefault="00FD627C" w:rsidP="00FD627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/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</w:tbl>
    <w:p w:rsidR="00FD627C" w:rsidRDefault="00FD627C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55FC0" w:rsidRDefault="00255FC0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942/21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Změna odpisového plánu r. 2021 – Městská knihovna Žatec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v souladu s ustanovením § 31 odst. 1 písm. a) zákona č. 250/2000 Sb., o 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rozpočtových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pravidlech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územních rozpočtů, ve znění pozdějších předpisů, schvaluje změnu odpisového plánu dlouhodobého majetku na rok 2021 u PO Městská knihovna Žatec, nám. Svobody 52, Žatec, a to v celkové výši odpisů 71.299,00 Kč.</w:t>
      </w:r>
    </w:p>
    <w:p w:rsidR="00255FC0" w:rsidRDefault="00255FC0" w:rsidP="00255F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31.12.2021</w:t>
      </w:r>
      <w:proofErr w:type="gramEnd"/>
    </w:p>
    <w:p w:rsidR="00255FC0" w:rsidRDefault="00255FC0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D627C" w:rsidRDefault="00FD627C" w:rsidP="00FD627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/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</w:tbl>
    <w:p w:rsidR="00255FC0" w:rsidRDefault="00255FC0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943/21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Snížení provozního příspěvku zřizovatele – Městská knihovna Žatec</w:t>
      </w:r>
    </w:p>
    <w:p w:rsidR="00255FC0" w:rsidRDefault="00255FC0" w:rsidP="00162C8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žádost ředitelky příspěvkové organizace Městská knihovna Žatec, nám. Svobody 52, 438 01 Žatec a schvaluje snížení příspěvku zřizovatele na činnost příspěvkové organizace ve výši 345.000,00 Kč.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rozpočtové opatření na výši 345 000,00 Kč, a to snížení výdajů kap. 716a jejich převod do rezervního fondu městě takto: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716-3314-5331,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516      - 345.000,00 Kč (Městská knihovna – příspěvek)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5901               + 345.000,00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(rezervní fond).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dále schvaluje příspěvkové organizaci Městská knihovna Žatec, nám. Svobody 52, 438 01 Žatec, změnu závazného ukazatele: Příspěvek na mzdy 3.267.000,00 Kč a příspěvek na provoz ve výši 2.792.000,00 Kč. Ostatní ukazatelé zůstávají beze změny.</w:t>
      </w:r>
    </w:p>
    <w:p w:rsidR="00255FC0" w:rsidRDefault="00255FC0" w:rsidP="00255F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7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31.12.2021</w:t>
      </w:r>
      <w:proofErr w:type="gramEnd"/>
    </w:p>
    <w:p w:rsidR="00255FC0" w:rsidRDefault="00255FC0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D627C" w:rsidRDefault="00FD627C" w:rsidP="00FD627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/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</w:tbl>
    <w:p w:rsidR="00FD627C" w:rsidRDefault="00FD627C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55FC0" w:rsidRDefault="00255FC0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944/21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Snížení provozního příspěvku zřizovatele – Městské divadlo Žatec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žádost ředitele příspěvkové organizace Městské divadlo Žatec, Dvořákova 27, 438 01 Žatec a schvaluje snížení provozního příspěvku zřizovatele na činnost příspěvkové organizace ve výši 400.000,00 Kč.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rozpočtové opatření na výši 400 000,00 Kč, a to snížení výdajů kap. 716 a jejich převod do rezervního fondu městě takto: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716-3311-5331,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283      - 400.000,00 Kč (Městské divadlo – příspěvek)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5901              </w:t>
      </w:r>
      <w:r w:rsidR="00162C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+ 400.000,00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(rezervní fond).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dále schvaluje příspěvkové organizaci Městské divadlo Žatec, Dvořákova 27, 438 01 Žatec, změnu závazného ukazatele: Příspěvek na mzdy 3.250.000,00 Kč a příspěvek na provoz ve výši 4.530.000,00 Kč. Ostatní ukazatelé zůstávají beze změny.</w:t>
      </w:r>
    </w:p>
    <w:p w:rsidR="00255FC0" w:rsidRDefault="00255FC0" w:rsidP="00255F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8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31.12.2021</w:t>
      </w:r>
      <w:proofErr w:type="gramEnd"/>
    </w:p>
    <w:p w:rsidR="00255FC0" w:rsidRDefault="00255FC0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D627C" w:rsidRDefault="00FD627C" w:rsidP="00FD627C"/>
    <w:p w:rsidR="00FD627C" w:rsidRDefault="00FD627C" w:rsidP="00FD627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/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</w:tbl>
    <w:p w:rsidR="00FD627C" w:rsidRDefault="00FD627C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55FC0" w:rsidRDefault="00255FC0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945/21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Přijetí finančního daru účelově určeného v rámci projektu Obědy pro </w:t>
      </w:r>
    </w:p>
    <w:p w:rsidR="00255FC0" w:rsidRDefault="00255FC0" w:rsidP="00255FC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děti – ZŠ Komenského alej</w:t>
      </w:r>
    </w:p>
    <w:p w:rsidR="00255FC0" w:rsidRDefault="00255FC0" w:rsidP="00162C8F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ředitele Základní školy Žatec, Komenského alej 749, okres Louny Mgr. Zdeňka Srpa a dle § 27 odst. 7 písm. b) zákona č. 250/2000 Sb., o rozpočtových pravidlech územních rozpočtů, ve znění pozdějších předpisů, souhlasí s přijetím finančního daru účelově určeného, a to od společnosti WOMEN FOR WOMEN, o.p.s., Vlastislavova 152/4, 140 00 Praha – Nusle, IČ: 24231509 v celkové výši 14.278,00 Kč. Finanční dar je určen na úhradu stravného ve školní jídelně pro čtyři žáky školy ve školním roce 2021/2022, a to 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01.01.2022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30.06.2022.</w:t>
      </w:r>
    </w:p>
    <w:p w:rsidR="00255FC0" w:rsidRDefault="00255FC0" w:rsidP="00255F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31.12.2021</w:t>
      </w:r>
      <w:proofErr w:type="gramEnd"/>
    </w:p>
    <w:p w:rsidR="00255FC0" w:rsidRDefault="00255FC0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D627C" w:rsidRDefault="00FD627C" w:rsidP="00FD627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/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</w:tbl>
    <w:p w:rsidR="00FD627C" w:rsidRDefault="00FD627C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55FC0" w:rsidRDefault="00255FC0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946/21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Přijetí finančního daru účelově určeného v rámci projektu Obědy pro </w:t>
      </w:r>
    </w:p>
    <w:p w:rsidR="00255FC0" w:rsidRDefault="00255FC0" w:rsidP="00255FC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děti – ZŠ nám. 28. října 1019, Žatec</w:t>
      </w:r>
    </w:p>
    <w:p w:rsidR="00255FC0" w:rsidRDefault="00255FC0" w:rsidP="00162C8F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ředitelky Základní školy Žatec, nám. 28. října 1019, okres Louny Mgr. Jany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Hassmanové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dle § 27 odst. 7 písm. b) zákona č. 250/2000 Sb. „o rozpočtových pravidlech územních rozpočtů“, ve znění pozdějších předpisů, souhlasí s přijetím finančního daru účelově určeného, a to od společnosti WOMEN FOR WOMEN, o.p.s., Vlastislavova 152/4, 140 00 Praha – Nusle, IČ: 24231509 v celkové výši 7.080,00 Kč, který je určen na úhradu stravného ve školní jídelně celkem pro 2 žáky školy ve školním roce 2021/2022, a to 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01.01.2022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30.06.2022.</w:t>
      </w:r>
    </w:p>
    <w:p w:rsidR="00255FC0" w:rsidRDefault="00255FC0" w:rsidP="00255F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31.12.2021</w:t>
      </w:r>
      <w:proofErr w:type="gramEnd"/>
    </w:p>
    <w:p w:rsidR="00255FC0" w:rsidRDefault="00255FC0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D627C" w:rsidRDefault="00FD627C" w:rsidP="00FD627C"/>
    <w:p w:rsidR="00FD627C" w:rsidRDefault="00FD627C" w:rsidP="00FD627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/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</w:tbl>
    <w:p w:rsidR="00FD627C" w:rsidRDefault="00FD627C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55FC0" w:rsidRDefault="00255FC0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947/21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Přijetí věcného daru – Městské divadlo Žatec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ředitele Městského divadla Žatec, Dvořákova 27, 438 01 Žatec Mgr. Martina Veselého a dle § 27 odst. 7 písm. b) zákona č. 250/2000 Sb., o rozpočtových pravidlech územních rozpočtů, ve znění pozdějších předpisů, souhlasí s přijetím věcných darů od společnosti Martin Krákora, IČ 678 34 361, se sídlem Mlynářská 2677, 438 01 Žatec v celkové hodnotě 1.000,00 Kč, a to výtvarné a papírenské potřeby na akci Mikulášská nadílka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05.12.2021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5FC0" w:rsidRDefault="00255FC0" w:rsidP="00255F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31.12.2021</w:t>
      </w:r>
      <w:proofErr w:type="gramEnd"/>
    </w:p>
    <w:p w:rsidR="00255FC0" w:rsidRDefault="00255FC0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D627C" w:rsidRDefault="00FD627C" w:rsidP="00FD627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/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</w:tbl>
    <w:p w:rsidR="00FD627C" w:rsidRDefault="00FD627C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55FC0" w:rsidRDefault="00255FC0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948/21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Pojistná smlouva č. 7721133790 s pojišťovnou Kooperativa, a.s. IČ: </w:t>
      </w:r>
    </w:p>
    <w:p w:rsidR="00255FC0" w:rsidRDefault="00255FC0" w:rsidP="00255FC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47116617 – Dodatek č. 6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Dodatek č. 6 k pojistné smlouvě č. 7721133790 s 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pojišťovnou Kooperativa, a.s., IČ: 47116617 a ukládá starostce města tuto smlouvu podepsat.</w:t>
      </w:r>
    </w:p>
    <w:p w:rsidR="00255FC0" w:rsidRDefault="00255FC0" w:rsidP="00255F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22.12.2021</w:t>
      </w:r>
      <w:proofErr w:type="gramEnd"/>
    </w:p>
    <w:p w:rsidR="00255FC0" w:rsidRDefault="00255FC0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SCHELLOVÁ</w:t>
      </w:r>
    </w:p>
    <w:p w:rsidR="00FD627C" w:rsidRDefault="00FD627C" w:rsidP="00FD627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/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</w:tbl>
    <w:p w:rsidR="00FD627C" w:rsidRDefault="00FD627C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55FC0" w:rsidRDefault="00255FC0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949/21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Účelová neinvestiční dotace – Český svaz včelařů Žatec</w:t>
      </w:r>
    </w:p>
    <w:p w:rsidR="00255FC0" w:rsidRDefault="00255FC0" w:rsidP="00162C8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poskytnutí účelové neinvestiční dotace spolku Český svaz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včelařů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z.s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základní organizace Žatec, IČ 651 08 426, Ostrov 2286, 438 01 Žatec na zakoupení kompresoru na léčení včelstev v </w:t>
      </w:r>
      <w:r w:rsidR="00162C8F">
        <w:rPr>
          <w:rFonts w:ascii="Times New Roman" w:hAnsi="Times New Roman" w:cs="Times New Roman"/>
          <w:color w:val="000000"/>
          <w:sz w:val="24"/>
          <w:szCs w:val="24"/>
        </w:rPr>
        <w:t>roce 2021 ve výši 14.000,00 Kč.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rozpočtové opatření: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 - 14.000,00 Kč (rezervní fond)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741-3429-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5222         + 14.000,00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(finanční příspěvek).</w:t>
      </w:r>
    </w:p>
    <w:p w:rsidR="00255FC0" w:rsidRDefault="00255FC0" w:rsidP="00255F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0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31.12.2021</w:t>
      </w:r>
      <w:proofErr w:type="gramEnd"/>
    </w:p>
    <w:p w:rsidR="00255FC0" w:rsidRDefault="00255FC0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D627C" w:rsidRDefault="00FD627C" w:rsidP="00FD627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/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</w:tbl>
    <w:p w:rsidR="00FD627C" w:rsidRDefault="00FD627C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55FC0" w:rsidRDefault="00255FC0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950/21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Dohoda o </w:t>
      </w:r>
      <w:r w:rsidR="00A858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narovnání – fyzická osoba</w:t>
      </w:r>
    </w:p>
    <w:p w:rsidR="00255FC0" w:rsidRDefault="00255FC0" w:rsidP="00162C8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projednala a revokuje své usnesení č. 888/21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15.11.2021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současně schvaluje uzavření dohody o narovnání s</w:t>
      </w:r>
      <w:r w:rsidR="00A858BB">
        <w:rPr>
          <w:rFonts w:ascii="Times New Roman" w:hAnsi="Times New Roman" w:cs="Times New Roman"/>
          <w:color w:val="000000"/>
          <w:sz w:val="24"/>
          <w:szCs w:val="24"/>
        </w:rPr>
        <w:t> fyzickou osobou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ve věci sporu o náhradu 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nemajetkové újmy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vedeném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 Okresního soudu v Lounech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zn. 13 C 15/2021 v předloženém znění s navrženými změnami.</w:t>
      </w:r>
    </w:p>
    <w:p w:rsidR="00255FC0" w:rsidRDefault="00255FC0" w:rsidP="00255F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30.1.2022</w:t>
      </w:r>
      <w:proofErr w:type="gramEnd"/>
    </w:p>
    <w:p w:rsidR="00255FC0" w:rsidRDefault="00255FC0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FD627C" w:rsidRDefault="00FD627C" w:rsidP="00FD627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/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</w:tbl>
    <w:p w:rsidR="00FD627C" w:rsidRDefault="00FD627C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55FC0" w:rsidRDefault="00255FC0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951/21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Informace o investičních akcích odboru rozvoje města v realizaci v roce </w:t>
      </w:r>
    </w:p>
    <w:p w:rsidR="00255FC0" w:rsidRDefault="00255FC0" w:rsidP="00255FC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2021</w:t>
      </w:r>
    </w:p>
    <w:p w:rsidR="00162C8F" w:rsidRDefault="00162C8F" w:rsidP="00162C8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255FC0">
        <w:rPr>
          <w:rFonts w:ascii="Times New Roman" w:hAnsi="Times New Roman" w:cs="Times New Roman"/>
          <w:color w:val="000000"/>
          <w:sz w:val="24"/>
          <w:szCs w:val="24"/>
        </w:rPr>
        <w:t xml:space="preserve">ada města Žatce bere na vědomí aktuální přehled investičních akcí odboru rozvoje města Žatce k </w:t>
      </w:r>
      <w:proofErr w:type="gramStart"/>
      <w:r w:rsidR="00255FC0">
        <w:rPr>
          <w:rFonts w:ascii="Times New Roman" w:hAnsi="Times New Roman" w:cs="Times New Roman"/>
          <w:color w:val="000000"/>
          <w:sz w:val="24"/>
          <w:szCs w:val="24"/>
        </w:rPr>
        <w:t>13.12.2021</w:t>
      </w:r>
      <w:proofErr w:type="gramEnd"/>
      <w:r w:rsidR="00255FC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858BB" w:rsidRDefault="00A858BB" w:rsidP="00162C8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55FC0" w:rsidRDefault="00162C8F" w:rsidP="00162C8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55FC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255FC0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255FC0">
        <w:rPr>
          <w:rFonts w:ascii="Times New Roman" w:hAnsi="Times New Roman" w:cs="Times New Roman"/>
          <w:color w:val="000000"/>
          <w:sz w:val="20"/>
          <w:szCs w:val="20"/>
        </w:rPr>
        <w:t>20.12.2021</w:t>
      </w:r>
      <w:proofErr w:type="gramEnd"/>
    </w:p>
    <w:p w:rsidR="00255FC0" w:rsidRDefault="00255FC0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FD627C" w:rsidRDefault="00FD627C" w:rsidP="00FD627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/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</w:tbl>
    <w:p w:rsidR="00FD627C" w:rsidRDefault="00FD627C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55FC0" w:rsidRDefault="00255FC0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952/21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Rozpočtové opatření – vybudování veřejného osvětlení v ul. U Oharky v </w:t>
      </w:r>
    </w:p>
    <w:p w:rsidR="00255FC0" w:rsidRDefault="00255FC0" w:rsidP="00255FC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Žatci</w:t>
      </w:r>
    </w:p>
    <w:p w:rsidR="00255FC0" w:rsidRDefault="00255FC0" w:rsidP="00162C8F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rozpočtové opatření ve výši 300.000,00 Kč – uvolnění finančních prostředků z investičního fondu na vybudování veřejného osvětlení v ul. U Oharky v Žatci.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               - 300.000,00 Kč (IF)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739-3631-6121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667      + 300.000,00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(VO v ul. U Oharky).</w:t>
      </w:r>
    </w:p>
    <w:p w:rsidR="00255FC0" w:rsidRDefault="00255FC0" w:rsidP="00255F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7.1.2022</w:t>
      </w:r>
      <w:proofErr w:type="gramEnd"/>
    </w:p>
    <w:p w:rsidR="00255FC0" w:rsidRDefault="00255FC0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D627C" w:rsidRDefault="00FD627C" w:rsidP="00FD627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/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</w:tbl>
    <w:p w:rsidR="00FD627C" w:rsidRDefault="00FD627C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55FC0" w:rsidRDefault="00255FC0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953/21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Rozpočtové opatření – „Obnova Nerudova náměstí v Žatci – 2. etapa“</w:t>
      </w:r>
    </w:p>
    <w:p w:rsidR="00255FC0" w:rsidRDefault="00255FC0" w:rsidP="00162C8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rozpočtové opatření ve výši 50.000,00 Kč – uvolnění finančních prostředků z investičního fondu na financování akce „Obnova Nerudova náměstí v Žatci – 2. etapa“ v tomto znění: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                  - 50.000,00 Kč (IF)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710-2212-6121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648         + 50.000,00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(Nerudovo náměstí).</w:t>
      </w:r>
    </w:p>
    <w:p w:rsidR="00255FC0" w:rsidRDefault="00255FC0" w:rsidP="00255F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7.1.2022</w:t>
      </w:r>
      <w:proofErr w:type="gramEnd"/>
    </w:p>
    <w:p w:rsidR="00255FC0" w:rsidRDefault="00255FC0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D627C" w:rsidRDefault="00FD627C" w:rsidP="00FD627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/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</w:tbl>
    <w:p w:rsidR="00FD627C" w:rsidRDefault="00FD627C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55FC0" w:rsidRDefault="00255FC0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954/21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Rozpočtové opatření – „Páteřní cyklostezka Ohře trasa Litoměřice – </w:t>
      </w:r>
    </w:p>
    <w:p w:rsidR="00255FC0" w:rsidRDefault="00255FC0" w:rsidP="00255FC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(Boč) – Perštejn úsek č. 1“</w:t>
      </w:r>
    </w:p>
    <w:p w:rsidR="00255FC0" w:rsidRDefault="00255FC0" w:rsidP="00162C8F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rozpočtové opatření ve výši 40.000,00 Kč, a to přesun finančních prostředků v rámci schváleného rozpočtu kap. 710 z akce „Rekonstrukce ul. Politických vězňů, Žatec – 2. etapa“ na dofinancování akce „Páteřní cyklostezka Ohře trasa Litoměřice – (Boč) – Perštejn úsek č. 1“ v tomto znění: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710-2212-6121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637       - 40.000,00 Kč (ul. Politických vězňů)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710-2219-6121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7160      + 40.000,00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(PD – cyklostezka úsek č. 1).</w:t>
      </w:r>
    </w:p>
    <w:p w:rsidR="00255FC0" w:rsidRDefault="00255FC0" w:rsidP="00255F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7.1.2022</w:t>
      </w:r>
      <w:proofErr w:type="gramEnd"/>
    </w:p>
    <w:p w:rsidR="00255FC0" w:rsidRDefault="00255FC0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D627C" w:rsidRDefault="00FD627C" w:rsidP="00FD627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/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</w:tbl>
    <w:p w:rsidR="00FD627C" w:rsidRDefault="00FD627C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162C8F" w:rsidRDefault="00162C8F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</w:pPr>
    </w:p>
    <w:p w:rsidR="00255FC0" w:rsidRDefault="00255FC0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955/21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Dohoda o zániku Smlouvy o úpravách a provozování veřejného osvětlení </w:t>
      </w:r>
    </w:p>
    <w:p w:rsidR="00255FC0" w:rsidRDefault="00255FC0" w:rsidP="00255FC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 p. p. č. 6903/7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 ze dne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29.05.2014</w:t>
      </w:r>
      <w:proofErr w:type="gramEnd"/>
    </w:p>
    <w:p w:rsidR="00FD627C" w:rsidRDefault="00255FC0" w:rsidP="00FD627C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Dohodu o zániku Smlouvy o úpravách a provozování veřejného osvětlení na p. p. č. 6903/7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ze dne 29. 05.2014 a zároveň ukládá starostce města Dohodu podepsat.</w:t>
      </w:r>
    </w:p>
    <w:p w:rsidR="00255FC0" w:rsidRDefault="00FD627C" w:rsidP="00FD627C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55FC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255FC0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255FC0">
        <w:rPr>
          <w:rFonts w:ascii="Times New Roman" w:hAnsi="Times New Roman" w:cs="Times New Roman"/>
          <w:color w:val="000000"/>
          <w:sz w:val="20"/>
          <w:szCs w:val="20"/>
        </w:rPr>
        <w:t>7.1.2022</w:t>
      </w:r>
      <w:proofErr w:type="gramEnd"/>
    </w:p>
    <w:p w:rsidR="00255FC0" w:rsidRDefault="00255FC0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FD627C" w:rsidRDefault="00FD627C" w:rsidP="00FD627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/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</w:tbl>
    <w:p w:rsidR="00255FC0" w:rsidRDefault="00255FC0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956/21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Dodatek č. 2 ke Smlouvě o dílo na realizaci veřejné zakázky s názvem: </w:t>
      </w:r>
    </w:p>
    <w:p w:rsidR="00255FC0" w:rsidRDefault="00255FC0" w:rsidP="00255FC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„Obnova Husitského náměstí v Žatci“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Dodatek č. 2 ke Smlouvě o dílo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19.03.2021</w:t>
      </w:r>
      <w:proofErr w:type="gramEnd"/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realizaci veřejné zakázky s názvem: „Obnova Husitského náměstí v Žatci“ a zároveň ukládá starostce města Dodatek č. 2 podepsat.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rozpočtové opatření ve výši 130.000,00 Kč, a to přesun finančních prostředků v rámci schváleného rozpočtu kap. 710 z akce „Rekonstrukce ul. Politických vězňů, Žatec – 2. etapa na dofinancování akce „Obnova Husitského náměstí v Žatci“ v tomto znění: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710-2212-6121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637       - 130.000,00 Kč (ul. Politických vězňů)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710-2212-6121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656      + 130.000,00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(Husitské náměstí).</w:t>
      </w:r>
    </w:p>
    <w:p w:rsidR="00255FC0" w:rsidRDefault="00255FC0" w:rsidP="00255F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5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7.1.2022</w:t>
      </w:r>
      <w:proofErr w:type="gramEnd"/>
    </w:p>
    <w:p w:rsidR="00255FC0" w:rsidRDefault="00255FC0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 w:rsidRPr="00162C8F">
        <w:rPr>
          <w:rFonts w:ascii="Times New Roman" w:hAnsi="Times New Roman" w:cs="Times New Roman"/>
          <w:color w:val="000000"/>
          <w:sz w:val="18"/>
          <w:szCs w:val="18"/>
        </w:rPr>
        <w:t>p.</w:t>
      </w:r>
      <w:r w:rsidRPr="00162C8F">
        <w:rPr>
          <w:rFonts w:ascii="Arial" w:hAnsi="Arial" w:cs="Arial"/>
          <w:sz w:val="18"/>
          <w:szCs w:val="18"/>
        </w:rPr>
        <w:tab/>
      </w:r>
      <w:r w:rsidRPr="00162C8F">
        <w:rPr>
          <w:rFonts w:ascii="Times New Roman" w:hAnsi="Times New Roman" w:cs="Times New Roman"/>
          <w:color w:val="000000"/>
          <w:sz w:val="18"/>
          <w:szCs w:val="18"/>
        </w:rPr>
        <w:t xml:space="preserve">MAZÁNKOVÁ, </w:t>
      </w:r>
      <w:r w:rsidR="00162C8F" w:rsidRPr="00162C8F">
        <w:rPr>
          <w:rFonts w:ascii="Times New Roman" w:hAnsi="Times New Roman" w:cs="Times New Roman"/>
          <w:color w:val="000000"/>
          <w:sz w:val="18"/>
          <w:szCs w:val="18"/>
        </w:rPr>
        <w:t>SEDLÁKOVÁ</w:t>
      </w:r>
    </w:p>
    <w:p w:rsidR="00FD627C" w:rsidRDefault="00FD627C" w:rsidP="00FD627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/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</w:tbl>
    <w:p w:rsidR="00FD627C" w:rsidRDefault="00FD627C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55FC0" w:rsidRDefault="00255FC0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957/21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Dodatek č. 1 ke Smlouvě o dílo na realizaci veřejné zakázky s názvem: </w:t>
      </w:r>
    </w:p>
    <w:p w:rsidR="00255FC0" w:rsidRDefault="00255FC0" w:rsidP="00255FC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„Parkování za objektem DPS v ulici U Hřiště, Žatec“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Dodatek č. 1 ke Smlouvě o dílo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10.09.2021</w:t>
      </w:r>
      <w:proofErr w:type="gramEnd"/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realizaci veřejné zakázky s názvem: „Parkování za objektem DPS v ulici U Hřiště, Žatec“ a zároveň ukládá starostce města Dodatek č. 1 podepsat.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rozpočtové opatření ve výši 950.000,00 Kč –</w:t>
      </w:r>
      <w:r w:rsidR="00162C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uvolnění finančních prostředků z investičního fondu na dofinancování akce „Parkování za objektem DPS v ulici U Hřiště, Žatec“ v tomto znění: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            - 950.000,00 Kč (IF)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710-2219-6121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813   + 950.000,00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(parkování v ul. U Hřiště).</w:t>
      </w:r>
    </w:p>
    <w:p w:rsidR="00255FC0" w:rsidRDefault="00255FC0" w:rsidP="00255F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4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7.1.2022</w:t>
      </w:r>
      <w:proofErr w:type="gramEnd"/>
    </w:p>
    <w:p w:rsidR="00255FC0" w:rsidRDefault="00255FC0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 w:rsidRPr="00162C8F">
        <w:rPr>
          <w:rFonts w:ascii="Times New Roman" w:hAnsi="Times New Roman" w:cs="Times New Roman"/>
          <w:color w:val="000000"/>
          <w:sz w:val="18"/>
          <w:szCs w:val="18"/>
        </w:rPr>
        <w:t>p.</w:t>
      </w:r>
      <w:r w:rsidRPr="00162C8F">
        <w:rPr>
          <w:rFonts w:ascii="Arial" w:hAnsi="Arial" w:cs="Arial"/>
          <w:sz w:val="18"/>
          <w:szCs w:val="18"/>
        </w:rPr>
        <w:tab/>
      </w:r>
      <w:r w:rsidRPr="00162C8F">
        <w:rPr>
          <w:rFonts w:ascii="Times New Roman" w:hAnsi="Times New Roman" w:cs="Times New Roman"/>
          <w:color w:val="000000"/>
          <w:sz w:val="18"/>
          <w:szCs w:val="18"/>
        </w:rPr>
        <w:t xml:space="preserve">MAZÁNKOVÁ, </w:t>
      </w:r>
      <w:r w:rsidR="00162C8F" w:rsidRPr="00162C8F">
        <w:rPr>
          <w:rFonts w:ascii="Times New Roman" w:hAnsi="Times New Roman" w:cs="Times New Roman"/>
          <w:color w:val="000000"/>
          <w:sz w:val="18"/>
          <w:szCs w:val="18"/>
        </w:rPr>
        <w:t>SEDLÁKOVÁ</w:t>
      </w:r>
    </w:p>
    <w:p w:rsidR="00FD627C" w:rsidRDefault="00FD627C" w:rsidP="00FD627C"/>
    <w:p w:rsidR="00FD627C" w:rsidRDefault="00FD627C" w:rsidP="00FD627C"/>
    <w:p w:rsidR="00FD627C" w:rsidRDefault="00FD627C" w:rsidP="00FD627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/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</w:tbl>
    <w:p w:rsidR="00FD627C" w:rsidRDefault="00FD627C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55FC0" w:rsidRDefault="00255FC0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958/21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Obnova městského hřbitova v Žatci – zadání studie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v návaznosti na své usnesení č. 91/21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08.02.2021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schvaluje Zadání studie architektonicko-stavebního řešení obnovy městského hřbitova v Žatci a ukládá odboru rozvoje města zajistit poptávkové řízení na zpracovatele studie obnovy hřbitova v Žatci.</w:t>
      </w:r>
    </w:p>
    <w:p w:rsidR="00255FC0" w:rsidRDefault="00255FC0" w:rsidP="00255F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31.1.2022</w:t>
      </w:r>
      <w:proofErr w:type="gramEnd"/>
    </w:p>
    <w:p w:rsidR="00255FC0" w:rsidRDefault="00255FC0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FD627C" w:rsidRDefault="00FD627C" w:rsidP="00FD627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/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</w:tbl>
    <w:p w:rsidR="00FD627C" w:rsidRDefault="00FD627C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55FC0" w:rsidRDefault="00255FC0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959/21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Dodatek č. 1 akce „Polyfunkční a spolkové centrum – Regionální </w:t>
      </w:r>
    </w:p>
    <w:p w:rsidR="00255FC0" w:rsidRDefault="00255FC0" w:rsidP="00255FC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technologické centrum robotiky“</w:t>
      </w:r>
    </w:p>
    <w:p w:rsidR="00255FC0" w:rsidRDefault="00255FC0" w:rsidP="00162C8F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znění Dodatku č. 1 ke Smlouvě o dílo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20.09.2021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 akci: „Polyfunkční a spolkové centrum – Regionální technologické centrum 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robotiky v objektu Kláštera kapucínů v Žatci“ a zároveň ukládá starostce města Žatce podepsat tento Dodatek č. 1.</w:t>
      </w:r>
    </w:p>
    <w:p w:rsidR="00255FC0" w:rsidRDefault="00255FC0" w:rsidP="00255F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31.12.2021</w:t>
      </w:r>
      <w:proofErr w:type="gramEnd"/>
    </w:p>
    <w:p w:rsidR="00255FC0" w:rsidRDefault="00255FC0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FD627C" w:rsidRDefault="00FD627C" w:rsidP="00FD627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/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</w:tbl>
    <w:p w:rsidR="00FD627C" w:rsidRDefault="00FD627C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55FC0" w:rsidRDefault="00255FC0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960/21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„Dodávka sanitního vozu VWT6i pro Nemocnici Žatec – návrh Dodatku </w:t>
      </w:r>
    </w:p>
    <w:p w:rsidR="00255FC0" w:rsidRDefault="00255FC0" w:rsidP="00255FC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č. 1 ke Kupní smlouvě ze dne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08.07.2021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</w:p>
    <w:p w:rsidR="00255FC0" w:rsidRDefault="00255FC0" w:rsidP="00162C8F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znění návrhu Dodatku č. 1 ke Kupní smlouvě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08.07.2021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 veřejné zakázce malého rozsahu – „Dodávka sanitního vozu VWT6i pro Nemocnici Žatec,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o.p.s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návrh Dodatku č.1  ke Kupní smlouvě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08.07.2021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ukládá starostce Města Žatce podepsat předmětný Dodatek č. 1 ke Kupní smlouvě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08.07.2021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5FC0" w:rsidRDefault="00255FC0" w:rsidP="00255F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0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20.12.2021</w:t>
      </w:r>
      <w:proofErr w:type="gramEnd"/>
    </w:p>
    <w:p w:rsidR="00255FC0" w:rsidRDefault="00255FC0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FD627C" w:rsidRDefault="00FD627C" w:rsidP="00FD627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/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</w:tbl>
    <w:p w:rsidR="00FD627C" w:rsidRDefault="00FD627C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55FC0" w:rsidRDefault="00255FC0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961/21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Výběr zhotovitele – „Regenerace objektu bývalých papíren v Žatci – </w:t>
      </w:r>
    </w:p>
    <w:p w:rsidR="00255FC0" w:rsidRDefault="00255FC0" w:rsidP="00255FC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Vybudování a vybavení městského archivu a kuželny“</w:t>
      </w:r>
    </w:p>
    <w:p w:rsidR="00255FC0" w:rsidRDefault="00255FC0" w:rsidP="00162C8F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zprávu o posouzení a hodnocení nabídek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01.12.2021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 zhotovitele veřejné zakázky na stavební práce: „Regenerace objektu bývalých papíren v Žatci – Vybudování a vybavení městského archivu a kuželny“ zadané v otevřeném řízení podle § 56 zákona č. 134/2016 Sb., o zadávání veřejných zakázek, ve znění pozdějších předpisů a rozhodla o výběru nabídek v tomto pořadí: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Nabídka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poř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č. 5 účastníka POHL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a.s.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Nabídka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poř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č. 2 účastníka RRR spol. s r.o.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Nabídka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poř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č. 4 účastníka METALL QUATRO spol. s r.o. 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Nabídka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poř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č. 3 účastníka Chládek &amp; Tintěra, a.s.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Nabídka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poř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č. 1 účastníka PRO URBAN s.r.o.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zároveň ukládá starostce města Žatce podepsat smlouvu o dílo s vybraným uchazečem za podmínky zajištění financování veřejné zakázky v celém rozsahu na stavební práce.</w:t>
      </w:r>
    </w:p>
    <w:p w:rsidR="00255FC0" w:rsidRDefault="00255FC0" w:rsidP="00255F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06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7.1.2022</w:t>
      </w:r>
      <w:proofErr w:type="gramEnd"/>
    </w:p>
    <w:p w:rsidR="00255FC0" w:rsidRDefault="00255FC0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FD627C" w:rsidRDefault="00FD627C" w:rsidP="00FD627C"/>
    <w:p w:rsidR="00FD627C" w:rsidRDefault="00FD627C" w:rsidP="00FD627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/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</w:tbl>
    <w:p w:rsidR="00FD627C" w:rsidRDefault="00FD627C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55FC0" w:rsidRDefault="00255FC0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962/21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Dohoda o zániku Smlouvy o poskytování služeb ze dne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12.03.2020</w:t>
      </w:r>
      <w:proofErr w:type="gramEnd"/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znění Dohody o zániku Smlouvy o poskytování služeb ze dne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12.03.2020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uzavřené se společností GRANTEX dotace s.r.o. na poskytnutí poradenství a</w:t>
      </w:r>
      <w:r w:rsidR="00162C8F">
        <w:rPr>
          <w:rFonts w:ascii="Times New Roman" w:hAnsi="Times New Roman" w:cs="Times New Roman"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color w:val="000000"/>
          <w:sz w:val="24"/>
          <w:szCs w:val="24"/>
        </w:rPr>
        <w:t>alších služeb spojených se získáním veřejné podpory pro projekt „Polyfunkční a spolkové centrum – Klášter kapucínů“.</w:t>
      </w:r>
    </w:p>
    <w:p w:rsidR="00255FC0" w:rsidRDefault="00255FC0" w:rsidP="00255F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31.1.2022</w:t>
      </w:r>
      <w:proofErr w:type="gramEnd"/>
    </w:p>
    <w:p w:rsidR="00255FC0" w:rsidRDefault="00255FC0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FD627C" w:rsidRDefault="00FD627C" w:rsidP="00FD627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/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</w:tbl>
    <w:p w:rsidR="00FD627C" w:rsidRDefault="00FD627C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55FC0" w:rsidRDefault="00255FC0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963/21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Zápis ze zasedání představenstva společnosti Žatecká teplárenská, a.s.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jako jediný akcionář pro výkonu působnosti valné hromady společnosti </w:t>
      </w:r>
    </w:p>
    <w:p w:rsidR="00162C8F" w:rsidRDefault="00255FC0" w:rsidP="00162C8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Žatecká teplárenská, a.s. bere na vědomí zápis ze zasedání představenstva Žatecké</w:t>
      </w:r>
      <w:r w:rsidR="00162C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teplárenské, a.s.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03.12.2021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62C8F" w:rsidRDefault="00162C8F" w:rsidP="00162C8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55FC0" w:rsidRDefault="00162C8F" w:rsidP="00162C8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55FC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255FC0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255FC0">
        <w:rPr>
          <w:rFonts w:ascii="Times New Roman" w:hAnsi="Times New Roman" w:cs="Times New Roman"/>
          <w:color w:val="000000"/>
          <w:sz w:val="20"/>
          <w:szCs w:val="20"/>
        </w:rPr>
        <w:t>20.12.2021</w:t>
      </w:r>
      <w:proofErr w:type="gramEnd"/>
    </w:p>
    <w:p w:rsidR="00255FC0" w:rsidRDefault="00255FC0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ŽT, </w:t>
      </w:r>
      <w:r w:rsidR="00162C8F">
        <w:rPr>
          <w:rFonts w:ascii="Times New Roman" w:hAnsi="Times New Roman" w:cs="Times New Roman"/>
          <w:color w:val="000000"/>
          <w:sz w:val="20"/>
          <w:szCs w:val="20"/>
        </w:rPr>
        <w:t>a.s.</w:t>
      </w:r>
    </w:p>
    <w:p w:rsidR="00FD627C" w:rsidRDefault="00FD627C" w:rsidP="00FD627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/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</w:tbl>
    <w:p w:rsidR="00FD627C" w:rsidRDefault="00FD627C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55FC0" w:rsidRDefault="00255FC0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964/21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Zápis ze zasedání dozorčí rady společnosti Žatecká teplárenská, a.s.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jako jediný akcionář pro výkonu působnosti valné hromady společnosti </w:t>
      </w:r>
    </w:p>
    <w:p w:rsidR="00FD627C" w:rsidRDefault="00255FC0" w:rsidP="00FD627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Žatecká teplárenská, a.s. bere na vědomí zápis ze zasedání dozorčí rady Žatecké teplárenské, a.s.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15.10.2021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5FC0" w:rsidRDefault="00FD627C" w:rsidP="00FD627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55FC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255FC0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255FC0">
        <w:rPr>
          <w:rFonts w:ascii="Times New Roman" w:hAnsi="Times New Roman" w:cs="Times New Roman"/>
          <w:color w:val="000000"/>
          <w:sz w:val="20"/>
          <w:szCs w:val="20"/>
        </w:rPr>
        <w:t>20.12.2021</w:t>
      </w:r>
      <w:proofErr w:type="gramEnd"/>
    </w:p>
    <w:p w:rsidR="00255FC0" w:rsidRDefault="00255FC0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ŽT, </w:t>
      </w:r>
      <w:r w:rsidR="00162C8F">
        <w:rPr>
          <w:rFonts w:ascii="Times New Roman" w:hAnsi="Times New Roman" w:cs="Times New Roman"/>
          <w:color w:val="000000"/>
          <w:sz w:val="20"/>
          <w:szCs w:val="20"/>
        </w:rPr>
        <w:t>a.s.</w:t>
      </w:r>
    </w:p>
    <w:p w:rsidR="00FD627C" w:rsidRDefault="00FD627C" w:rsidP="00FD627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/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</w:tbl>
    <w:p w:rsidR="00FD627C" w:rsidRDefault="00FD627C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55FC0" w:rsidRDefault="00255FC0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965/21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Rozpočtové opatření – navýšení výdajů kapitoly úklid a údržba města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rozpočtové opatření ve výši 800.000,00 Kč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navýšení kapitoly 739 – úklid a údržba města.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           - 800.000,00 Kč (RF)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739-3639-5169,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510          + 800.000,00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(úklid a údržba města)</w:t>
      </w:r>
    </w:p>
    <w:p w:rsidR="00255FC0" w:rsidRDefault="00255FC0" w:rsidP="00255F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31.12.2021</w:t>
      </w:r>
      <w:proofErr w:type="gramEnd"/>
    </w:p>
    <w:p w:rsidR="00255FC0" w:rsidRDefault="00255FC0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D627C" w:rsidRDefault="00FD627C" w:rsidP="00FD627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/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D627C" w:rsidRDefault="002E79AD" w:rsidP="002E79AD">
            <w:pPr>
              <w:jc w:val="center"/>
            </w:pPr>
            <w:r>
              <w:t>4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D627C" w:rsidRDefault="002E79AD" w:rsidP="00FD627C">
            <w:pPr>
              <w:jc w:val="center"/>
            </w:pPr>
            <w:r>
              <w:t>1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2E79AD" w:rsidP="00FD627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</w:tbl>
    <w:p w:rsidR="00FD627C" w:rsidRDefault="00FD627C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55FC0" w:rsidRDefault="00255FC0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966/21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Zřízení vyhrazeného parkovacího místa – udělení výjimky</w:t>
      </w:r>
    </w:p>
    <w:p w:rsidR="00255FC0" w:rsidRDefault="00255FC0" w:rsidP="00162C8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bere na vědomí žádost Domova pro seniory a Pečovatelské služby v Žatci se sídlem na adrese Šafaříkova 852, 438 01 Žatec a schvaluje udělení výjimky z Pravidel Rady města Žatec pro vyhrazování parkovacích míst za účelem zřízení vyhrazeného parkovacího místa pro jeden služební vůz za Domem s pečovatelskou službou, U Hřiště č. p. 2512 a č. p. 2513 v Žatci.</w:t>
      </w:r>
    </w:p>
    <w:p w:rsidR="00255FC0" w:rsidRDefault="00255FC0" w:rsidP="00255F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31.12.2021</w:t>
      </w:r>
      <w:proofErr w:type="gramEnd"/>
    </w:p>
    <w:p w:rsidR="00255FC0" w:rsidRDefault="00255FC0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FD627C" w:rsidTr="00FD627C">
        <w:tc>
          <w:tcPr>
            <w:tcW w:w="1203" w:type="dxa"/>
            <w:shd w:val="clear" w:color="auto" w:fill="auto"/>
          </w:tcPr>
          <w:p w:rsidR="00FD627C" w:rsidRDefault="00FD627C" w:rsidP="00FD627C"/>
        </w:tc>
        <w:tc>
          <w:tcPr>
            <w:tcW w:w="840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hlasů</w:t>
            </w:r>
          </w:p>
        </w:tc>
        <w:tc>
          <w:tcPr>
            <w:tcW w:w="1409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Hamousová</w:t>
            </w:r>
          </w:p>
        </w:tc>
        <w:tc>
          <w:tcPr>
            <w:tcW w:w="1012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8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Špička</w:t>
            </w:r>
          </w:p>
        </w:tc>
        <w:tc>
          <w:tcPr>
            <w:tcW w:w="98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Frýba</w:t>
            </w:r>
          </w:p>
        </w:tc>
        <w:tc>
          <w:tcPr>
            <w:tcW w:w="970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99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D627C" w:rsidTr="00FD627C">
        <w:tc>
          <w:tcPr>
            <w:tcW w:w="1203" w:type="dxa"/>
            <w:shd w:val="clear" w:color="auto" w:fill="auto"/>
          </w:tcPr>
          <w:p w:rsidR="00FD627C" w:rsidRDefault="00FD627C" w:rsidP="00FD627C">
            <w:r>
              <w:t>pro</w:t>
            </w:r>
          </w:p>
        </w:tc>
        <w:tc>
          <w:tcPr>
            <w:tcW w:w="840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5</w:t>
            </w:r>
          </w:p>
        </w:tc>
        <w:tc>
          <w:tcPr>
            <w:tcW w:w="1409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1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8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8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  <w:tc>
          <w:tcPr>
            <w:tcW w:w="970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</w:tr>
      <w:tr w:rsidR="00FD627C" w:rsidTr="00FD627C">
        <w:tc>
          <w:tcPr>
            <w:tcW w:w="1203" w:type="dxa"/>
            <w:shd w:val="clear" w:color="auto" w:fill="auto"/>
          </w:tcPr>
          <w:p w:rsidR="00FD627C" w:rsidRDefault="00FD627C" w:rsidP="00FD627C">
            <w:r>
              <w:t>proti</w:t>
            </w:r>
          </w:p>
        </w:tc>
        <w:tc>
          <w:tcPr>
            <w:tcW w:w="840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09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1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  <w:tr w:rsidR="00FD627C" w:rsidTr="00FD627C">
        <w:tc>
          <w:tcPr>
            <w:tcW w:w="1203" w:type="dxa"/>
            <w:shd w:val="clear" w:color="auto" w:fill="auto"/>
          </w:tcPr>
          <w:p w:rsidR="00FD627C" w:rsidRDefault="00FD627C" w:rsidP="00FD627C">
            <w:r>
              <w:t>zdržel se</w:t>
            </w:r>
          </w:p>
        </w:tc>
        <w:tc>
          <w:tcPr>
            <w:tcW w:w="840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09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1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</w:tbl>
    <w:p w:rsidR="00FD627C" w:rsidRDefault="00FD627C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55FC0" w:rsidRDefault="00255FC0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967/21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Žádost spol.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Trei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Real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Estate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Czech Republic s.r.o.</w:t>
      </w:r>
    </w:p>
    <w:p w:rsidR="00255FC0" w:rsidRDefault="00255FC0" w:rsidP="00162C8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ukládá odboru místního hospodářství a majetku zveřejnit po dobu 15 dnů záměr města uzavřít Dodatek č. 5 ke Smlouvě o nájmu pozemků ostatní plocha p. p. č. 5628/7, p. p. č. 5628/41, p. p. č. 5628/42 a st. p. č. 5172 vše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30.01.1992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ve znění pozdějších dodatků, a to ve věci změny doby nájmu a výše nájemného. Nájem na dobu určitou do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30.04.2037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 možností prodloužit nájem o 6 let, a to na základě opce; za roční nájemné v minimální výši 211.920,00 Kč s právem zvýšit nájemné o míru roční inflace na základě oficiálních údajů, nájemce společnost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Real</w:t>
      </w:r>
      <w:r w:rsidR="00162C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Czech Republic s.r.o. se sídlem Rohanské nábřeží 670/17, Karlín, 186 00 Praha 8, IČO: 257 08 261.</w:t>
      </w:r>
    </w:p>
    <w:p w:rsidR="00255FC0" w:rsidRDefault="00255FC0" w:rsidP="00255F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1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31.12.2021</w:t>
      </w:r>
      <w:proofErr w:type="gramEnd"/>
    </w:p>
    <w:p w:rsidR="00255FC0" w:rsidRDefault="00255FC0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FD627C" w:rsidRDefault="00FD627C" w:rsidP="00FD627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/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</w:tbl>
    <w:p w:rsidR="00FD627C" w:rsidRDefault="00FD627C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55FC0" w:rsidRDefault="00255FC0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968/21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Záměr prodat vozidlo tovární zn. LADOG typ G 129 včetně výměnných </w:t>
      </w:r>
    </w:p>
    <w:p w:rsidR="00255FC0" w:rsidRDefault="00255FC0" w:rsidP="00255FC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nástaveb</w:t>
      </w:r>
    </w:p>
    <w:p w:rsidR="00255FC0" w:rsidRDefault="00255FC0" w:rsidP="00162C8F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ukládá odboru místního hospodářství a majetku zveřejnit po dobu 20 dnů na úřední desce záměr města prodat pracovní stroj samojízdný tovární zn. LADOG typ G 129, včetně zametací nástavby, čelního válcového kartáče, sypací nástavby a kropící nástavby za minimální cenu 50.000,00 Kč bez DPH.</w:t>
      </w:r>
    </w:p>
    <w:p w:rsidR="00255FC0" w:rsidRDefault="00255FC0" w:rsidP="00255F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10.1.2022</w:t>
      </w:r>
      <w:proofErr w:type="gramEnd"/>
    </w:p>
    <w:p w:rsidR="00255FC0" w:rsidRDefault="00255FC0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FD627C" w:rsidRDefault="00FD627C" w:rsidP="00FD627C"/>
    <w:p w:rsidR="00FD627C" w:rsidRDefault="00FD627C" w:rsidP="00FD627C"/>
    <w:p w:rsidR="00FD627C" w:rsidRDefault="00FD627C" w:rsidP="00FD627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/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</w:tbl>
    <w:p w:rsidR="00FD627C" w:rsidRDefault="00FD627C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55FC0" w:rsidRDefault="00255FC0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969/21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Prodloužení nájemní smlouvy</w:t>
      </w:r>
    </w:p>
    <w:p w:rsidR="00162C8F" w:rsidRDefault="00255FC0" w:rsidP="00162C8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prodloužení nájmu bytu č. 29 o velikosti 1+1 v domě č. p. 2512 ul. U Hřiště v Žatci </w:t>
      </w:r>
      <w:r w:rsidR="00A858BB">
        <w:rPr>
          <w:rFonts w:ascii="Times New Roman" w:hAnsi="Times New Roman" w:cs="Times New Roman"/>
          <w:color w:val="000000"/>
          <w:sz w:val="24"/>
          <w:szCs w:val="24"/>
        </w:rPr>
        <w:t xml:space="preserve">fyzické osobě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 dobu určitou do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31.12.2024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5FC0" w:rsidRDefault="00162C8F" w:rsidP="00162C8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55FC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255FC0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255FC0">
        <w:rPr>
          <w:rFonts w:ascii="Times New Roman" w:hAnsi="Times New Roman" w:cs="Times New Roman"/>
          <w:color w:val="000000"/>
          <w:sz w:val="20"/>
          <w:szCs w:val="20"/>
        </w:rPr>
        <w:t>31.12.2021</w:t>
      </w:r>
      <w:proofErr w:type="gramEnd"/>
    </w:p>
    <w:p w:rsidR="00255FC0" w:rsidRDefault="00255FC0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FD627C" w:rsidRDefault="00FD627C" w:rsidP="00FD627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/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</w:tbl>
    <w:p w:rsidR="00FD627C" w:rsidRDefault="00FD627C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55FC0" w:rsidRDefault="00255FC0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970/21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Uzavření nájemní smlouvy</w:t>
      </w:r>
    </w:p>
    <w:p w:rsidR="00255FC0" w:rsidRDefault="00255FC0" w:rsidP="00162C8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nájem bytu č. 606 o velikosti 1+1 v domě č. p. 2820 ul. Písečná v Žatci </w:t>
      </w:r>
      <w:r w:rsidR="00A858BB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dobu určitou do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31.12.2024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 podmínkou zaplacení jednorázového příspěvku na sociální účely ve výši 25.000,00 Kč.</w:t>
      </w:r>
    </w:p>
    <w:p w:rsidR="00255FC0" w:rsidRDefault="00255FC0" w:rsidP="00255F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31.12.2021</w:t>
      </w:r>
      <w:proofErr w:type="gramEnd"/>
    </w:p>
    <w:p w:rsidR="00255FC0" w:rsidRDefault="00255FC0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FD627C" w:rsidRDefault="00FD627C" w:rsidP="00FD627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/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</w:tbl>
    <w:p w:rsidR="00FD627C" w:rsidRDefault="00FD627C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D627C" w:rsidRDefault="00FD627C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55FC0" w:rsidRDefault="00255FC0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971/21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Směna části pozemku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Bezděkov u Žatce</w:t>
      </w:r>
    </w:p>
    <w:p w:rsidR="00255FC0" w:rsidRDefault="00255FC0" w:rsidP="00162C8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schválit směnu pozemků: část pozemku ostatní plocha p. p. č. 741/4, dle GP č. 491-022/2021 nově oddělený pozemek ostatní plocha p. p. č. 741/4 o výměře 56 m2, v majetku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majetku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½ </w:t>
      </w:r>
      <w:r w:rsidR="00A858BB">
        <w:rPr>
          <w:rFonts w:ascii="Times New Roman" w:hAnsi="Times New Roman" w:cs="Times New Roman"/>
          <w:color w:val="000000"/>
          <w:sz w:val="24"/>
          <w:szCs w:val="24"/>
        </w:rPr>
        <w:t>fyzických osob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½ </w:t>
      </w:r>
      <w:r w:rsidR="00A858BB">
        <w:rPr>
          <w:rFonts w:ascii="Times New Roman" w:hAnsi="Times New Roman" w:cs="Times New Roman"/>
          <w:color w:val="000000"/>
          <w:sz w:val="24"/>
          <w:szCs w:val="24"/>
        </w:rPr>
        <w:t>fyzických osob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pozemek ostatní plocha p. p. č. 741/38 o výměře 64 m2 v majetku města Žatec, vše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Bezděkov u Žatce s podmínkou uhrazení doplatku ve výši 4.000,00 Kč Městu Žatec před podpisem směnné smlouvy a poplatky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spojené s vkladem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kupní smlouvy do KN.</w:t>
      </w:r>
    </w:p>
    <w:p w:rsidR="00255FC0" w:rsidRDefault="00255FC0" w:rsidP="00255F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17.2.2022</w:t>
      </w:r>
      <w:proofErr w:type="gramEnd"/>
    </w:p>
    <w:p w:rsidR="00255FC0" w:rsidRDefault="00255FC0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FD627C" w:rsidRDefault="00FD627C" w:rsidP="00FD627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/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</w:tbl>
    <w:p w:rsidR="00FD627C" w:rsidRDefault="00FD627C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55FC0" w:rsidRDefault="00255FC0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972/21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zřízení věcného břemene – stavba „Žatec, Husova, p. p. č. </w:t>
      </w:r>
    </w:p>
    <w:p w:rsidR="00255FC0" w:rsidRDefault="00255FC0" w:rsidP="00255FC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5628/84, vodovod a kanalizace BD, č. stavby LN 085 230“</w:t>
      </w:r>
    </w:p>
    <w:p w:rsidR="00255FC0" w:rsidRDefault="00255FC0" w:rsidP="00162C8F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Smlouvu o zřízení věcného břemene pro Severočeskou vodárenskou společnost a.s. na stavbu „Žatec, Husova, p. p. č. 5628/84, vodovod a kanalizace BD, č. stavby LN 085 230“ na pozemcích města: p. p. č. 5628/81 a p. p. č. 5628/84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jejímž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obsahem je vedení vodovodu a kanalizace, právo ochranného pásma a právo oprávněné strany vyplývající ze zákona č. 274/2001 Sb., zákon o vodovodech a kanalizacích, ve znění pozdějších předpisů.</w:t>
      </w:r>
    </w:p>
    <w:p w:rsidR="00255FC0" w:rsidRDefault="00255FC0" w:rsidP="00255F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20.1.2022</w:t>
      </w:r>
      <w:proofErr w:type="gramEnd"/>
    </w:p>
    <w:p w:rsidR="00255FC0" w:rsidRDefault="00255FC0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FD627C" w:rsidRDefault="00FD627C" w:rsidP="00FD627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/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</w:tbl>
    <w:p w:rsidR="00FD627C" w:rsidRDefault="00FD627C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55FC0" w:rsidRDefault="00255FC0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973/21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zřízení věcného břemene – stavba „Žatec, Husova, p. p. č. </w:t>
      </w:r>
    </w:p>
    <w:p w:rsidR="00255FC0" w:rsidRDefault="00255FC0" w:rsidP="00255FC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5628/84, vodovod a kanalizace BD, č. stavby LN 085 234“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Smlouvu o zřízení věcného břemene pro Severočeskou 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vodárenskou společnost a.s. na stavbu „Žatec, Husova, p. p. č. 5628/84, vodovod a kanalizace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BD, č. stavby LN 085 234“ na pozemku města: p. p. č. 5628/84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jejímž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obsahem je vedení vodovodu a kanalizace, právo ochranného pásma a právo oprávněné strany vyplývající ze zákona č. 274/2001 Sb., zákon o vodovodech a kanalizacích, ve znění pozdějších předpisů.</w:t>
      </w:r>
    </w:p>
    <w:p w:rsidR="00162C8F" w:rsidRDefault="00162C8F" w:rsidP="00255F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after="0" w:line="240" w:lineRule="auto"/>
      </w:pPr>
    </w:p>
    <w:p w:rsidR="00255FC0" w:rsidRDefault="00255FC0" w:rsidP="00255F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20.1.2022</w:t>
      </w:r>
      <w:proofErr w:type="gramEnd"/>
    </w:p>
    <w:p w:rsidR="00255FC0" w:rsidRDefault="00255FC0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FD627C" w:rsidRDefault="00FD627C" w:rsidP="00FD627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/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</w:tbl>
    <w:p w:rsidR="00FD627C" w:rsidRDefault="00FD627C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55FC0" w:rsidRDefault="00255FC0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974/21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zřízení věcného břemene – stavba „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LN_Radíčeves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1xOM“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zřízení věcného břemene pro společnost ČEZ 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Distribuce, a.s. na stavbu „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LN_Radíčeves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1xOM“ na pozemku města: p. p. č. 365/1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jejímž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obsahem je zařízení distribuční soustavy, právo ochranného pásma a právo oprávněné strany vyplývající ze zákona č. 458/2000 Sb., energetický zákon, ve znění pozdějších předpisů.</w:t>
      </w:r>
    </w:p>
    <w:p w:rsidR="00255FC0" w:rsidRDefault="00255FC0" w:rsidP="00255F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20.1.2022</w:t>
      </w:r>
      <w:proofErr w:type="gramEnd"/>
    </w:p>
    <w:p w:rsidR="00255FC0" w:rsidRDefault="00255FC0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FD627C" w:rsidRDefault="00FD627C" w:rsidP="00FD627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/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</w:tbl>
    <w:p w:rsidR="00FD627C" w:rsidRDefault="00FD627C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55FC0" w:rsidRDefault="00255FC0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975/21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zřízení věcného břemene – stavba „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LN_Žatec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č.parc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 720/8“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zřízení věcného břemene pro společnost ČEZ 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Distribuce, a.s. na stavbu „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LN_Žatec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č.parc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720/8“ na pozemku města: p. p. č. 720/12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jejímž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obsahem je zařízení distribuční soustavy, právo ochranného pásma a právo oprávněné strany vyplývající ze zákona č. 458/2000 Sb., energetický zákon, ve znění pozdějších předpisů.</w:t>
      </w:r>
    </w:p>
    <w:p w:rsidR="00255FC0" w:rsidRDefault="00255FC0" w:rsidP="00255F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20.1.2022</w:t>
      </w:r>
      <w:proofErr w:type="gramEnd"/>
    </w:p>
    <w:p w:rsidR="00255FC0" w:rsidRDefault="00255FC0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FD627C" w:rsidTr="00FD627C">
        <w:tc>
          <w:tcPr>
            <w:tcW w:w="1203" w:type="dxa"/>
            <w:shd w:val="clear" w:color="auto" w:fill="auto"/>
          </w:tcPr>
          <w:p w:rsidR="00FD627C" w:rsidRDefault="00FD627C" w:rsidP="00FD627C"/>
        </w:tc>
        <w:tc>
          <w:tcPr>
            <w:tcW w:w="840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hlasů</w:t>
            </w:r>
          </w:p>
        </w:tc>
        <w:tc>
          <w:tcPr>
            <w:tcW w:w="1409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Hamousová</w:t>
            </w:r>
          </w:p>
        </w:tc>
        <w:tc>
          <w:tcPr>
            <w:tcW w:w="1012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8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Špička</w:t>
            </w:r>
          </w:p>
        </w:tc>
        <w:tc>
          <w:tcPr>
            <w:tcW w:w="98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Frýba</w:t>
            </w:r>
          </w:p>
        </w:tc>
        <w:tc>
          <w:tcPr>
            <w:tcW w:w="970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99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D627C" w:rsidTr="00FD627C">
        <w:tc>
          <w:tcPr>
            <w:tcW w:w="1203" w:type="dxa"/>
            <w:shd w:val="clear" w:color="auto" w:fill="auto"/>
          </w:tcPr>
          <w:p w:rsidR="00FD627C" w:rsidRDefault="00FD627C" w:rsidP="00FD627C">
            <w:r>
              <w:t>pro</w:t>
            </w:r>
          </w:p>
        </w:tc>
        <w:tc>
          <w:tcPr>
            <w:tcW w:w="840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5</w:t>
            </w:r>
          </w:p>
        </w:tc>
        <w:tc>
          <w:tcPr>
            <w:tcW w:w="1409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1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8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8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  <w:tc>
          <w:tcPr>
            <w:tcW w:w="970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</w:tr>
      <w:tr w:rsidR="00FD627C" w:rsidTr="00FD627C">
        <w:tc>
          <w:tcPr>
            <w:tcW w:w="1203" w:type="dxa"/>
            <w:shd w:val="clear" w:color="auto" w:fill="auto"/>
          </w:tcPr>
          <w:p w:rsidR="00FD627C" w:rsidRDefault="00FD627C" w:rsidP="00FD627C">
            <w:r>
              <w:t>proti</w:t>
            </w:r>
          </w:p>
        </w:tc>
        <w:tc>
          <w:tcPr>
            <w:tcW w:w="840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09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1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  <w:tr w:rsidR="00FD627C" w:rsidTr="00FD627C">
        <w:tc>
          <w:tcPr>
            <w:tcW w:w="1203" w:type="dxa"/>
            <w:shd w:val="clear" w:color="auto" w:fill="auto"/>
          </w:tcPr>
          <w:p w:rsidR="00FD627C" w:rsidRDefault="00FD627C" w:rsidP="00FD627C">
            <w:r>
              <w:t>zdržel se</w:t>
            </w:r>
          </w:p>
        </w:tc>
        <w:tc>
          <w:tcPr>
            <w:tcW w:w="840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09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1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</w:tbl>
    <w:p w:rsidR="00FD627C" w:rsidRDefault="00FD627C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55FC0" w:rsidRDefault="00255FC0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976/21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zřízení věcného břemene – stavba „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LN_Žatec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ppč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., 3847“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zřízení věcného břemene pro společnost ČEZ </w:t>
      </w:r>
    </w:p>
    <w:p w:rsidR="00FD627C" w:rsidRDefault="00255FC0" w:rsidP="00FD627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Distribuce, a.s. na stavbu „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LN_Žatec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ppč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., 3847“ na pozemku města: p. p. č. 6935/4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jejímž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obsahem je zařízení distribuční soustavy, právo ochranného pásma a právo oprávněné strany vyplývající ze zákona č. 458/2000 Sb., energetický zákon, ve znění pozdějších předpisů.</w:t>
      </w:r>
    </w:p>
    <w:p w:rsidR="00255FC0" w:rsidRDefault="00FD627C" w:rsidP="00FD627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55FC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255FC0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255FC0">
        <w:rPr>
          <w:rFonts w:ascii="Times New Roman" w:hAnsi="Times New Roman" w:cs="Times New Roman"/>
          <w:color w:val="000000"/>
          <w:sz w:val="20"/>
          <w:szCs w:val="20"/>
        </w:rPr>
        <w:t>20.1.2022</w:t>
      </w:r>
      <w:proofErr w:type="gramEnd"/>
    </w:p>
    <w:p w:rsidR="00255FC0" w:rsidRDefault="00255FC0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FD627C" w:rsidRDefault="00FD627C" w:rsidP="00FD627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/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</w:tbl>
    <w:p w:rsidR="00FD627C" w:rsidRDefault="00FD627C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55FC0" w:rsidRDefault="00255FC0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977/21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zřízení věcného břemene – stavba „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LN_Žatec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Čeradická“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zřízení věcného břemene pro společnost ČEZ </w:t>
      </w:r>
    </w:p>
    <w:p w:rsidR="00FD627C" w:rsidRDefault="00255FC0" w:rsidP="00FD627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Distribuce, a.s. na stavbu „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LN_Žatec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Čeradická“ na pozemku města: p. p. č. 6008/5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jejímž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obsahem je zařízení distribuční soustavy, právo ochranného pásma a právo oprávněné strany vyplývající ze zákona č. 458/2000 Sb., energetický zákon, ve znění pozdějších předpisů.</w:t>
      </w:r>
    </w:p>
    <w:p w:rsidR="00FD627C" w:rsidRDefault="00FD627C" w:rsidP="00FD627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55FC0" w:rsidRDefault="00FD627C" w:rsidP="00FD627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255FC0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255FC0">
        <w:rPr>
          <w:rFonts w:ascii="Times New Roman" w:hAnsi="Times New Roman" w:cs="Times New Roman"/>
          <w:color w:val="000000"/>
          <w:sz w:val="20"/>
          <w:szCs w:val="20"/>
        </w:rPr>
        <w:t>20.1.2022</w:t>
      </w:r>
      <w:proofErr w:type="gramEnd"/>
    </w:p>
    <w:p w:rsidR="00255FC0" w:rsidRDefault="00255FC0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FD627C" w:rsidRDefault="00FD627C" w:rsidP="00FD627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/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</w:tbl>
    <w:p w:rsidR="00FD627C" w:rsidRDefault="00FD627C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55FC0" w:rsidRDefault="00255FC0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250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978/21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Bytové otázky</w:t>
      </w:r>
    </w:p>
    <w:p w:rsidR="00255FC0" w:rsidRDefault="00255FC0" w:rsidP="00162C8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doporučení bytové komise č. 31/21 a schvaluje nájem bytů na</w:t>
      </w:r>
      <w:r w:rsidR="00162C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dobu určitou do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31.12.2022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a to: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č. 1 v č. p. 1603 ul. Příkrá v Žatci o velikosti 1+1, nájemce Nemocnice Žatec, o.p.s.,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2 v č. p. 1603 ul. Příkrá v Žatci o velikosti 1+1, nájemce </w:t>
      </w:r>
      <w:r w:rsidR="00A858BB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6 v č. p. 1603 ul. Příkrá v Žatci o velikosti 1+1, nájemce </w:t>
      </w:r>
      <w:r w:rsidR="00A858BB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8 v č. p. 1603 ul. Příkrá v Žatci o velikosti 1+1, nájemce </w:t>
      </w:r>
      <w:r w:rsidR="00A858BB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10 v č. p. 1603 ul. Příkrá v Žatci o velikosti 1+1, nájemce </w:t>
      </w:r>
      <w:r w:rsidR="00A858BB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č. 13 v č. p. 1603 ul. Příkrá v Žatci o velikosti 1+1, nájemce Nemocnice Žatec, o.p.s.,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15 v č. p. 1603 ul. Příkrá v Žatci o velikosti 1+1, nájemce </w:t>
      </w:r>
      <w:r w:rsidR="00A858BB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1 v č. p. 1604 ul. Příkrá v Žatci o velikosti 1+1, nájemce </w:t>
      </w:r>
      <w:r w:rsidR="00A858BB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2 v č. p. 1604 ul. Příkrá v Žatci o velikosti 1+1, nájemce </w:t>
      </w:r>
      <w:r w:rsidR="00A858BB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4 v č. p. 1604 ul. Příkrá v Žatci o velikosti 1+1, nájemce </w:t>
      </w:r>
      <w:r w:rsidR="00A858BB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9 v č. p. 1604 ul. Příkrá v Žatci o velikosti 1+1, nájemce </w:t>
      </w:r>
      <w:r w:rsidR="00A858BB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11 v č. p. 1604 ul. Příkrá v Žatci o velikosti 1+1, nájemce </w:t>
      </w:r>
      <w:r w:rsidR="00A858BB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13 v č. p. 1604 ul. Příkrá v Žatci o velikosti 1+1, nájemce </w:t>
      </w:r>
      <w:r w:rsidR="00A858BB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1 v č. p. 49 Branka v Žatci o velikosti 1+3, nájemce </w:t>
      </w:r>
      <w:r w:rsidR="00A858BB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2 v č. p. 49 Branka v Žatci o velikosti 1+1, nájemce </w:t>
      </w:r>
      <w:r w:rsidR="00A858BB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5 v č. p. 49 Branka v Žatci o velikosti 1+2, nájemce </w:t>
      </w:r>
      <w:r w:rsidR="00A858BB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6 v č. p. 49 Branka v Žatci o velikosti 1+3, nájemce </w:t>
      </w:r>
      <w:r w:rsidR="00A858BB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3 v č. p. 149 nám. Svobody v Žatci o velikosti 1+4, nájemce </w:t>
      </w:r>
      <w:r w:rsidR="00A858BB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1 v č. p. 150 nám. Svobody v Žatci o velikosti 0+3, nájemce </w:t>
      </w:r>
      <w:r w:rsidR="00A858BB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č. 3 v č. p. 150 nám. Svobody v Žatci o velikosti 1+3, nájemce Nemocnice Žatec, o.p.s.,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3 v č. p. 151 nám. Svobody v Žatci o velikosti 1+3, nájemce </w:t>
      </w:r>
      <w:r w:rsidR="00A858BB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3 v č. p. 331 Smetanovo náměstí v Žatci o velikosti 0+2, nájemce </w:t>
      </w:r>
      <w:r w:rsidR="00A858BB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1 v č. p. 1139 ul. Studentská v Žatci o velikosti 1+4, nájemce Dětský domov, Základní 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škola, Střední škola, Žatec,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2816/13 v č. p. 2815, 2816 ul. Písečná v Žatci o velikosti 1+3, nájemce Nemocnice 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Žatec, o.p.s.,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2816/14 v č. p. 2815, 2816 ul. Písečná v Žatci o velikosti 1+3, nájemce </w:t>
      </w:r>
      <w:r w:rsidR="00A858BB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2825/14 v č. p. 2825, 2826 ul. Písečná v Žatci o velikosti 0+2, nájemce </w:t>
      </w:r>
      <w:r w:rsidR="00A858BB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2833/6 v č. p. 2832, 2833, 2834 ul. Dr. Václava Kůrky v Žatci o velikosti 0+1, nájemce </w:t>
      </w:r>
      <w:r w:rsidR="00A858BB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č. 2833/13 v č. p. 2832, 2833, 2834 ul. Dr. Václava Kůrky v Žatci o velikosti 0+1, nájemce</w:t>
      </w:r>
    </w:p>
    <w:p w:rsidR="00255FC0" w:rsidRDefault="00A858BB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 w:rsidR="00255FC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č. 2833/21 v č. p. 2832, 2833, 2834 ul. Dr. Václava Kůrky v Žatci o velikosti 0+1, nájemce</w:t>
      </w:r>
    </w:p>
    <w:p w:rsidR="00255FC0" w:rsidRDefault="00A858BB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 w:rsidR="00255FC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2835/5 v č. p. 2835, 2836, 2837 ul. Dr. Václava Kůrky v Žatci o velikosti 1+2, nájemce </w:t>
      </w:r>
      <w:r w:rsidR="00A858BB">
        <w:rPr>
          <w:rFonts w:ascii="Times New Roman" w:hAnsi="Times New Roman" w:cs="Times New Roman"/>
          <w:color w:val="000000"/>
          <w:sz w:val="24"/>
          <w:szCs w:val="24"/>
        </w:rPr>
        <w:t>fyzická osoba,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č. 2835/19 v č. p. 2835, 2836, 2837 ul. Dr. Václava Kůrky v Žatci o velikosti 1+3, nájemce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Domov bez zámků Tuchořice,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č. 2836/14 v č. p. 2835, 2836, 2837 ul. Dr. Václava Kůrky v Žatci o velikosti 1+2, nájemce</w:t>
      </w:r>
      <w:r w:rsidR="000B38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58BB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č. 2836/20 v č. p. 2835, 2836, 2837 ul. Dr. Václava Kůrky v Žatci o velikosti 1+2, nájemce</w:t>
      </w:r>
      <w:r w:rsidR="000B38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58BB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2837/2 v č. p. 2835, 2836, 2837 ul. Dr. Václava Kůrky v Žatci o velikosti 1+1, nájemce </w:t>
      </w:r>
      <w:r w:rsidR="00A858BB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2837/3 v č. p. 2835, 2836, 2837 ul. Dr. Václava Kůrky v Žatci o velikosti 1+1, nájemce </w:t>
      </w:r>
      <w:r w:rsidR="00A858BB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, s podmínkou zaplacení dluhu na nájmu bytu před uzavřením smlouvy,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č. 2837/12 v č. p. 2835, 2836, 2837 ul. Dr. Václava Kůrky v Žatci o velikosti 1+4, nájemce</w:t>
      </w:r>
      <w:r w:rsidR="000B38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58BB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č. 2837/14 v č. p. 2835, 2836, 2837 ul. Dr. Václava Kůrky v Žatci o velikosti 1+1, nájemce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Nemocnice Žatec, o.p.s.,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č. 2837/15 v č. p. 2835, 2836, 2837 ul. Dr. Václava Kůrky v Žatci o velikosti 1+4, nájemce</w:t>
      </w:r>
    </w:p>
    <w:p w:rsidR="00255FC0" w:rsidRDefault="00A858BB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 w:rsidR="00255FC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2837/17 v č. p. 2835, 2836, 2837ul. Dr. Václava Kůrky v Žatci o velikosti 1+1, nájemce </w:t>
      </w:r>
    </w:p>
    <w:p w:rsidR="00255FC0" w:rsidRDefault="00A858BB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 w:rsidR="00255FC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2837/23 v č. p. 2835, 2836, 2837ul. Dr. Václava Kůrky v Žatci o velikosti 1+1, nájemce </w:t>
      </w:r>
    </w:p>
    <w:p w:rsidR="00255FC0" w:rsidRDefault="00A858BB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 w:rsidR="00255FC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255FC0">
        <w:rPr>
          <w:rFonts w:ascii="Times New Roman" w:hAnsi="Times New Roman" w:cs="Times New Roman"/>
          <w:color w:val="000000"/>
          <w:sz w:val="24"/>
          <w:szCs w:val="24"/>
        </w:rPr>
        <w:t>Housing</w:t>
      </w:r>
      <w:proofErr w:type="spellEnd"/>
      <w:r w:rsidR="00255F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5FC0">
        <w:rPr>
          <w:rFonts w:ascii="Times New Roman" w:hAnsi="Times New Roman" w:cs="Times New Roman"/>
          <w:color w:val="000000"/>
          <w:sz w:val="24"/>
          <w:szCs w:val="24"/>
        </w:rPr>
        <w:t>first</w:t>
      </w:r>
      <w:proofErr w:type="spellEnd"/>
      <w:r w:rsidR="00255FC0"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301 v č. p. 3083, 3084, 3085 ul. Husova v Žatci o velikosti 1+kk, nájemce </w:t>
      </w:r>
      <w:r w:rsidR="00A858BB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203 v č. p. 3083, 3084, 3085 ul. Husova v Žatci o velikosti 1+kk, nájemce </w:t>
      </w:r>
      <w:r w:rsidR="00A858BB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303 v č. p. 3083, 3084, 3085 ul. Husova v Žatci o velikosti 1+kk, nájemce </w:t>
      </w:r>
      <w:r w:rsidR="00A858BB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bytu o ploše 67 m2 v domě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1043 ul. Chomutovská v Žatci, nájemce </w:t>
      </w:r>
      <w:r w:rsidR="00A858BB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vše za stávajících podmínek.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doporučení bytové komise č. 32/21 a neschvaluje uzavření nové nájemní smlouvy na byt č. 2 v č.</w:t>
      </w:r>
      <w:r w:rsidR="00A858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p. 1139 ul. Studentská v Žatci o velikosti 1+2, nájemce </w:t>
      </w:r>
      <w:r w:rsidR="00A858BB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Housing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first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doporučení bytové komise č. 33/21 a schvaluje skončení nájmu bytu č. 2835/2 o velikosti 1+2 v domě č. p. 2835, 2836, 2837 ul. Dr. V. Kůrky v Žatci dohodou k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31.12.2021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nájemce </w:t>
      </w:r>
      <w:r w:rsidR="00A858BB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doporučení bytové komise č. 34/21 a na základě podpory projektu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Housing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first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schvaluje nájem bytu č. 2 o velikosti 1+2 v domě č. p. 1139 ul. Studentská v Žatci </w:t>
      </w:r>
      <w:r w:rsidR="00A858BB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za měsíční nájemné 58,08 Kč/m2 bez služeb, na dobu určitou do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31.12.2022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 podmínkou zaplacení vratné peněžité jistoty ve výši trojnásobku měsíčního nájemného.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doporučení bytové komise č. 35/21 a na základě podpory projektu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Housing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first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schvaluje nájem bytu č. 4 o velikosti 1+1 v domě č. p. 1603 ul. Příkrá v Žatci </w:t>
      </w:r>
      <w:r w:rsidR="00A858BB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za měsíční nájemné 58,08 Kč/m2 bez služeb, na dobu určitou do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31.12.2022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 podmínkou zaplacení vratné peněžité jistoty ve výši trojnásobku měsíčního nájemného.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doporučení bytové komise č. 36/21 a bere na vědomí přechod nájmu bytu č. 2836/15 v domě č. p. 2835, 2836, 2837 ul. Dr. Václava Kůrky v Žatci po zemřelém nájemci bytu </w:t>
      </w:r>
      <w:r w:rsidR="00916767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a to v souladu s § 2280 zákona č. 89/2012 Sb., občanský zákoník, na potomky zemřelého nájemce </w:t>
      </w:r>
      <w:r w:rsidR="00916767">
        <w:rPr>
          <w:rFonts w:ascii="Times New Roman" w:hAnsi="Times New Roman" w:cs="Times New Roman"/>
          <w:color w:val="000000"/>
          <w:sz w:val="24"/>
          <w:szCs w:val="24"/>
        </w:rPr>
        <w:t xml:space="preserve">fyzickou osobu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916767">
        <w:rPr>
          <w:rFonts w:ascii="Times New Roman" w:hAnsi="Times New Roman" w:cs="Times New Roman"/>
          <w:color w:val="000000"/>
          <w:sz w:val="24"/>
          <w:szCs w:val="24"/>
        </w:rPr>
        <w:t>fyzickou osobu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0B3811" w:rsidRDefault="00255FC0" w:rsidP="000B381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doporučení bytové komise č. 37/21 a schvaluje v souladu s § 2291 zákona č. 89/2012 Sb., občanský zákoník, výpověď nájmu bytu č. 2 v č. p. 150 nám. Svobody v Žatci, nájemce </w:t>
      </w:r>
      <w:r w:rsidR="00916767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 důvodu zvlášť závažného porušení povinností nájemce s tím, že nájemce bude před zasláním výpovědi vyzván k zaplacení dluhu na nájmu bytu ve třech pravidelných měsíčních splátkách nejpozději do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31.03.2022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B3811" w:rsidRDefault="000B3811" w:rsidP="000B381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55FC0" w:rsidRDefault="000B3811" w:rsidP="000B381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255FC0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255FC0">
        <w:rPr>
          <w:rFonts w:ascii="Times New Roman" w:hAnsi="Times New Roman" w:cs="Times New Roman"/>
          <w:color w:val="000000"/>
          <w:sz w:val="20"/>
          <w:szCs w:val="20"/>
        </w:rPr>
        <w:t>31.1.2022</w:t>
      </w:r>
      <w:proofErr w:type="gramEnd"/>
    </w:p>
    <w:p w:rsidR="00255FC0" w:rsidRDefault="00255FC0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916767" w:rsidRDefault="00916767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16767" w:rsidRDefault="00916767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FD627C" w:rsidTr="00FD627C">
        <w:tc>
          <w:tcPr>
            <w:tcW w:w="1203" w:type="dxa"/>
            <w:shd w:val="clear" w:color="auto" w:fill="auto"/>
          </w:tcPr>
          <w:p w:rsidR="00FD627C" w:rsidRDefault="00FD627C" w:rsidP="00FD627C"/>
        </w:tc>
        <w:tc>
          <w:tcPr>
            <w:tcW w:w="840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hlasů</w:t>
            </w:r>
          </w:p>
        </w:tc>
        <w:tc>
          <w:tcPr>
            <w:tcW w:w="1409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Hamousová</w:t>
            </w:r>
          </w:p>
        </w:tc>
        <w:tc>
          <w:tcPr>
            <w:tcW w:w="1012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8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Špička</w:t>
            </w:r>
          </w:p>
        </w:tc>
        <w:tc>
          <w:tcPr>
            <w:tcW w:w="98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Frýba</w:t>
            </w:r>
          </w:p>
        </w:tc>
        <w:tc>
          <w:tcPr>
            <w:tcW w:w="970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99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D627C" w:rsidTr="00FD627C">
        <w:tc>
          <w:tcPr>
            <w:tcW w:w="1203" w:type="dxa"/>
            <w:shd w:val="clear" w:color="auto" w:fill="auto"/>
          </w:tcPr>
          <w:p w:rsidR="00FD627C" w:rsidRDefault="00FD627C" w:rsidP="00FD627C">
            <w:r>
              <w:t>pro</w:t>
            </w:r>
          </w:p>
        </w:tc>
        <w:tc>
          <w:tcPr>
            <w:tcW w:w="840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5</w:t>
            </w:r>
          </w:p>
        </w:tc>
        <w:tc>
          <w:tcPr>
            <w:tcW w:w="1409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1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8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8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  <w:tc>
          <w:tcPr>
            <w:tcW w:w="970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</w:tr>
      <w:tr w:rsidR="00FD627C" w:rsidTr="00FD627C">
        <w:tc>
          <w:tcPr>
            <w:tcW w:w="1203" w:type="dxa"/>
            <w:shd w:val="clear" w:color="auto" w:fill="auto"/>
          </w:tcPr>
          <w:p w:rsidR="00FD627C" w:rsidRDefault="00FD627C" w:rsidP="00FD627C">
            <w:r>
              <w:t>proti</w:t>
            </w:r>
          </w:p>
        </w:tc>
        <w:tc>
          <w:tcPr>
            <w:tcW w:w="840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09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1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  <w:tr w:rsidR="00FD627C" w:rsidTr="00FD627C">
        <w:tc>
          <w:tcPr>
            <w:tcW w:w="1203" w:type="dxa"/>
            <w:shd w:val="clear" w:color="auto" w:fill="auto"/>
          </w:tcPr>
          <w:p w:rsidR="00FD627C" w:rsidRDefault="00FD627C" w:rsidP="00FD627C">
            <w:r>
              <w:t>zdržel se</w:t>
            </w:r>
          </w:p>
        </w:tc>
        <w:tc>
          <w:tcPr>
            <w:tcW w:w="840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09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1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</w:tbl>
    <w:p w:rsidR="00FD627C" w:rsidRDefault="00FD627C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55FC0" w:rsidRDefault="00255FC0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979/21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Stanovy Žatecké regionální nemocnice, a.s.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změnu Stanov obchodní společnosti Žatecká </w:t>
      </w:r>
    </w:p>
    <w:p w:rsidR="00FD627C" w:rsidRDefault="00255FC0" w:rsidP="00FD627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regionální nemocnice, a.s. v předloženém znění.</w:t>
      </w:r>
    </w:p>
    <w:p w:rsidR="00FD627C" w:rsidRDefault="00FD627C" w:rsidP="00FD627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55FC0" w:rsidRDefault="00FD627C" w:rsidP="00FD627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55FC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255FC0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255FC0">
        <w:rPr>
          <w:rFonts w:ascii="Times New Roman" w:hAnsi="Times New Roman" w:cs="Times New Roman"/>
          <w:color w:val="000000"/>
          <w:sz w:val="20"/>
          <w:szCs w:val="20"/>
        </w:rPr>
        <w:t>31.12.2021</w:t>
      </w:r>
      <w:proofErr w:type="gramEnd"/>
    </w:p>
    <w:p w:rsidR="00255FC0" w:rsidRDefault="00255FC0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ŽRN, a.s.</w:t>
      </w:r>
    </w:p>
    <w:p w:rsidR="00FD627C" w:rsidRDefault="00FD627C" w:rsidP="00FD627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/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</w:tbl>
    <w:p w:rsidR="00FD627C" w:rsidRDefault="00FD627C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55FC0" w:rsidRDefault="00255FC0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980/21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Souhlas s čerpáním fondu investic – PO Domov pro seniory a </w:t>
      </w:r>
    </w:p>
    <w:p w:rsidR="00255FC0" w:rsidRDefault="00255FC0" w:rsidP="00255FC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Pečovatelská služba v Žatci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Žatce, v souladu s ustanovením § 31, odst. 2 písm. a) zákona č. 250/2000 Sb., 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rozpočtových pravidlech územních rozpočtů, ve znění pozdějších předpisů, projednala žádost ředitele příspěvkové organizace Domov pro seniory a Pečovatelská služba v Žatci, Šafaříkova 852, 438 01 Žatec Mgr. Petra Antoniho a souhlasí s čerpáním fondu investic organizace ve výši 125.000,00 Kč, a to na financování dodávky plynového sporáku s šesti hořáky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podestavbou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kuchyně organizace.</w:t>
      </w:r>
    </w:p>
    <w:p w:rsidR="00255FC0" w:rsidRDefault="00255FC0" w:rsidP="00255F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21.12.2021</w:t>
      </w:r>
      <w:proofErr w:type="gramEnd"/>
    </w:p>
    <w:p w:rsidR="00255FC0" w:rsidRDefault="00255FC0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FD627C" w:rsidRDefault="00FD627C" w:rsidP="00FD627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/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</w:tbl>
    <w:p w:rsidR="00FD627C" w:rsidRDefault="00FD627C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55FC0" w:rsidRDefault="00255FC0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981/21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Změna odpisového plánu pro rok 2021 – PO Kamarád LORM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Žatce, v souladu s ustanovením § 31, odst. 1. písm. a) zákona č. 250/2000 Sb., 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rozpočtových pravidlech územních rozpočtů, ve znění pozdějších předpisů, projednala a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schvaluje změnu odpisového plánu dlouhodobého majetku na rok 2021 příspěvkové organizace Kamarád LORM. Nový odpisový plán pro rok 2021 je stanoven ve výši 107.007,00 Kč.</w:t>
      </w:r>
    </w:p>
    <w:p w:rsidR="00255FC0" w:rsidRDefault="00255FC0" w:rsidP="00255F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21.12.2021</w:t>
      </w:r>
      <w:proofErr w:type="gramEnd"/>
    </w:p>
    <w:p w:rsidR="00255FC0" w:rsidRDefault="00255FC0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FD627C" w:rsidRDefault="00FD627C" w:rsidP="00FD627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/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</w:tbl>
    <w:p w:rsidR="00FD627C" w:rsidRDefault="00FD627C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B3811" w:rsidRDefault="000B3811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</w:pPr>
    </w:p>
    <w:p w:rsidR="00255FC0" w:rsidRDefault="00255FC0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982/21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Kamarád LORM – snížení příspěvku zřizovatele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projednala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žádost ředitelky příspěvkové organizace Kamarád LORM, 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Zeyerova 859, 438 01 Žatec a schvaluje snížení příspěvku zřizovatele na rok 2021 příspěvkové organizaci Kamarád LORM o 500.000,00 Kč.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dále schvaluje rozpočtové opatření ve výši 500.000,00 Kč takto: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728-4357-5331,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507    - 500.000,00 Kč (snížení příspěvku PO)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5901             + 500.000,00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(RF).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příspěvkové organizaci Kamarád LORM změnu závazných 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ukazatelů: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Příspěvek na mzdy: 4.500.000,00 Kč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Příspěvek na provoz: 2.703.000,00 Kč.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Ostatní ukazatelé zůstávají beze změny.</w:t>
      </w:r>
    </w:p>
    <w:p w:rsidR="00255FC0" w:rsidRDefault="00255FC0" w:rsidP="00255F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8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21.12.2021</w:t>
      </w:r>
      <w:proofErr w:type="gramEnd"/>
    </w:p>
    <w:p w:rsidR="00255FC0" w:rsidRDefault="00255FC0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D627C" w:rsidRDefault="00FD627C" w:rsidP="00FD627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/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</w:tbl>
    <w:p w:rsidR="00255FC0" w:rsidRDefault="00255FC0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983/21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BESIP</w:t>
      </w:r>
    </w:p>
    <w:p w:rsidR="00255FC0" w:rsidRDefault="00255FC0" w:rsidP="000B3811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společnosti Autoškola Janouš s.r.o., IČ 0441807 a schvaluje cenu za jednu odučenou hodinu dopravní výchovy na základních školách v Žatci 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výcviku na dopravním hřišti ve výši 270,00 Kč bez DPH.</w:t>
      </w:r>
    </w:p>
    <w:p w:rsidR="00255FC0" w:rsidRDefault="00255FC0" w:rsidP="00255F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1.1.2022</w:t>
      </w:r>
      <w:proofErr w:type="gramEnd"/>
    </w:p>
    <w:p w:rsidR="00255FC0" w:rsidRDefault="00255FC0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DOBRUSKÝ</w:t>
      </w:r>
    </w:p>
    <w:p w:rsidR="00FD627C" w:rsidRDefault="00FD627C" w:rsidP="00FD627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/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D627C" w:rsidRDefault="002E79AD" w:rsidP="002E79AD">
            <w:pPr>
              <w:jc w:val="center"/>
            </w:pPr>
            <w:r>
              <w:t>4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D627C" w:rsidRDefault="002E79AD" w:rsidP="00FD627C">
            <w:pPr>
              <w:jc w:val="center"/>
            </w:pPr>
            <w:r>
              <w:t>1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2E79AD" w:rsidP="00FD627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</w:tbl>
    <w:p w:rsidR="00FD627C" w:rsidRDefault="00FD627C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55FC0" w:rsidRDefault="00255FC0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984/21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umístění zařízení MKDS</w:t>
      </w:r>
    </w:p>
    <w:p w:rsidR="00255FC0" w:rsidRDefault="00255FC0" w:rsidP="000B3811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smlouvu o umístění zařízení MKDS na budově č. p. 245 na Kruhovém náměstí v Žatci mezi Městem Žatec a společností RENT POINT KGS a.s., se sídlem Praha 1 – Nové Město, Školská 693/28, IČ: 28424450, a ukládá starostce smlouvu podepsat.</w:t>
      </w:r>
    </w:p>
    <w:p w:rsidR="00255FC0" w:rsidRDefault="00255FC0" w:rsidP="00255F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31.12.2021</w:t>
      </w:r>
      <w:proofErr w:type="gramEnd"/>
    </w:p>
    <w:p w:rsidR="00255FC0" w:rsidRDefault="00255FC0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SOLAR</w:t>
      </w:r>
    </w:p>
    <w:p w:rsidR="00FD627C" w:rsidRDefault="00FD627C" w:rsidP="00FD627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/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D627C" w:rsidRDefault="002E79AD" w:rsidP="00FD627C">
            <w:pPr>
              <w:jc w:val="center"/>
            </w:pPr>
            <w:r>
              <w:t>4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D627C" w:rsidRDefault="002E79AD" w:rsidP="00FD627C">
            <w:pPr>
              <w:jc w:val="center"/>
            </w:pPr>
            <w:r>
              <w:t>1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2E79AD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</w:tbl>
    <w:p w:rsidR="00FD627C" w:rsidRDefault="00FD627C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55FC0" w:rsidRDefault="00255FC0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985/21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Úprava platových výměrů ředitelů příspěvkových organizací zřizovaných </w:t>
      </w:r>
    </w:p>
    <w:p w:rsidR="00255FC0" w:rsidRDefault="00255FC0" w:rsidP="00255FC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městem Žatec od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01.01.2022</w:t>
      </w:r>
      <w:proofErr w:type="gramEnd"/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úpravu platů ředitelů příspěvkových organizací 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zřizovaných městem Žatec s účinností 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01.01.2022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 souladu s platnou legislativou a 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Metodickým pokynem ke vztahům Města Žatec a jeho orgánů k příspěvkovým organizacím zřízených Městem Žatec.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úpravu platu v důsledku platového postupu ředitele Chrámu Chmele a Piva CZ, p. o. Ing. Karla Havelky,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MSc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v souladu se zákonem č. 262/2006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Sb., zákoník práce, nařízením vlády č. 341/2017 Sb., o platových poměrech zaměstnanců ve veřejných službách a správě a Metodickým pokynem ke vztahům Města Žatec a jeho orgánů k příspěvkovým organizacím zřízených Městem Žatec, a to s účinností 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01.01.2022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5FC0" w:rsidRDefault="00255FC0" w:rsidP="00255F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86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31.12.2021</w:t>
      </w:r>
      <w:proofErr w:type="gramEnd"/>
    </w:p>
    <w:p w:rsidR="00255FC0" w:rsidRDefault="00255FC0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ČERNÁ</w:t>
      </w:r>
    </w:p>
    <w:p w:rsidR="00FD627C" w:rsidRDefault="00FD627C" w:rsidP="00FD627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/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</w:tbl>
    <w:p w:rsidR="00FD627C" w:rsidRDefault="00FD627C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55FC0" w:rsidRDefault="00255FC0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986/21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Souběh pracovních poměrů na pozici Stavební administrativa</w:t>
      </w:r>
    </w:p>
    <w:p w:rsidR="00255FC0" w:rsidRDefault="00255FC0" w:rsidP="000B3811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v souladu s Organizačním řádem Městského úřadu Žatce bere na vědomí současné obsazení jednoho pracovního místa Stavební administrativa dvěma zaměstnanci Městského úřadu Žatec, a to s účinností 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01.01.2022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5FC0" w:rsidRDefault="00255FC0" w:rsidP="00255F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20.12.2021</w:t>
      </w:r>
      <w:proofErr w:type="gramEnd"/>
    </w:p>
    <w:p w:rsidR="00255FC0" w:rsidRDefault="00255FC0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FD627C" w:rsidRDefault="00FD627C" w:rsidP="00FD627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/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</w:tbl>
    <w:p w:rsidR="00FD627C" w:rsidRDefault="00FD627C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55FC0" w:rsidRDefault="00255FC0" w:rsidP="00255F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987/21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Zápisy z jednání komise pro architekturu a regeneraci města Žatce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zápisy z jednání komise pro architekturu a </w:t>
      </w:r>
    </w:p>
    <w:p w:rsidR="00255FC0" w:rsidRDefault="00255FC0" w:rsidP="00255F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regeneraci města Žatce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03.11.2021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08.11.2021, 10.11.2021 a 08.12.2021.</w:t>
      </w:r>
    </w:p>
    <w:p w:rsidR="00255FC0" w:rsidRDefault="00255FC0" w:rsidP="00255F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911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20.12.2021</w:t>
      </w:r>
      <w:proofErr w:type="gramEnd"/>
    </w:p>
    <w:p w:rsidR="00255FC0" w:rsidRDefault="00255FC0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ŠPIČKA</w:t>
      </w:r>
    </w:p>
    <w:p w:rsidR="00FD627C" w:rsidRDefault="00FD627C" w:rsidP="00FD627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/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omluven</w:t>
            </w: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  <w:tr w:rsidR="00FD627C" w:rsidTr="00FD627C">
        <w:tc>
          <w:tcPr>
            <w:tcW w:w="1219" w:type="dxa"/>
            <w:shd w:val="clear" w:color="auto" w:fill="auto"/>
          </w:tcPr>
          <w:p w:rsidR="00FD627C" w:rsidRDefault="00FD627C" w:rsidP="00FD627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D627C" w:rsidRDefault="00FD627C" w:rsidP="00FD627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D627C" w:rsidRDefault="00FD627C" w:rsidP="00FD627C">
            <w:pPr>
              <w:jc w:val="center"/>
            </w:pPr>
          </w:p>
        </w:tc>
      </w:tr>
    </w:tbl>
    <w:p w:rsidR="00FD627C" w:rsidRDefault="00FD627C" w:rsidP="00255F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55FC0" w:rsidRDefault="00255FC0" w:rsidP="00255FC0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before="1057"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Starostka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Místostarosta</w:t>
      </w:r>
    </w:p>
    <w:p w:rsidR="00255FC0" w:rsidRDefault="00255FC0" w:rsidP="000B3811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Mgr. Zdeňka Hamousová</w:t>
      </w:r>
      <w:r w:rsidR="009167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Ing. Radim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Laibl</w:t>
      </w:r>
      <w:proofErr w:type="spellEnd"/>
      <w:r w:rsidR="009167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</w:p>
    <w:p w:rsidR="00916767" w:rsidRDefault="00916767" w:rsidP="000B3811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16767" w:rsidRDefault="00916767" w:rsidP="000B3811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16767" w:rsidRDefault="00916767" w:rsidP="000B3811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4050D" w:rsidRDefault="00E4050D" w:rsidP="00E4050D">
      <w:pPr>
        <w:pStyle w:val="Nadpis1"/>
      </w:pPr>
      <w:r>
        <w:t>Za správnost vyhotovení: Pavlína Kloučková</w:t>
      </w:r>
    </w:p>
    <w:p w:rsidR="00E4050D" w:rsidRDefault="00E4050D" w:rsidP="00E4050D">
      <w:pPr>
        <w:jc w:val="both"/>
        <w:rPr>
          <w:sz w:val="24"/>
        </w:rPr>
      </w:pPr>
    </w:p>
    <w:p w:rsidR="00E4050D" w:rsidRDefault="00E4050D" w:rsidP="00E4050D">
      <w:pPr>
        <w:pStyle w:val="Zkladntext"/>
      </w:pPr>
      <w:r>
        <w:t>Upravená verze dokumentu z důvodu dodržení přiměřenosti rozsahu zveřejňovaných osobních údajů podle zákona č. 110/2019 Sb., o zpracování osobních údajů.</w:t>
      </w:r>
    </w:p>
    <w:p w:rsidR="00916767" w:rsidRDefault="00916767" w:rsidP="000B3811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bookmarkStart w:id="0" w:name="_GoBack"/>
      <w:bookmarkEnd w:id="0"/>
    </w:p>
    <w:sectPr w:rsidR="00916767">
      <w:footerReference w:type="default" r:id="rId9"/>
      <w:pgSz w:w="11906" w:h="16838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8BB" w:rsidRDefault="00A858BB" w:rsidP="00162C8F">
      <w:pPr>
        <w:spacing w:after="0" w:line="240" w:lineRule="auto"/>
      </w:pPr>
      <w:r>
        <w:separator/>
      </w:r>
    </w:p>
  </w:endnote>
  <w:endnote w:type="continuationSeparator" w:id="0">
    <w:p w:rsidR="00A858BB" w:rsidRDefault="00A858BB" w:rsidP="00162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2378397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A858BB" w:rsidRDefault="00A858BB" w:rsidP="00162C8F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5AC7">
              <w:rPr>
                <w:b/>
                <w:bCs/>
                <w:noProof/>
              </w:rPr>
              <w:t>29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5AC7">
              <w:rPr>
                <w:b/>
                <w:bCs/>
                <w:noProof/>
              </w:rPr>
              <w:t>29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858BB" w:rsidRDefault="00A858BB" w:rsidP="00162C8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8BB" w:rsidRDefault="00A858BB" w:rsidP="00162C8F">
      <w:pPr>
        <w:spacing w:after="0" w:line="240" w:lineRule="auto"/>
      </w:pPr>
      <w:r>
        <w:separator/>
      </w:r>
    </w:p>
  </w:footnote>
  <w:footnote w:type="continuationSeparator" w:id="0">
    <w:p w:rsidR="00A858BB" w:rsidRDefault="00A858BB" w:rsidP="00162C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FC0"/>
    <w:rsid w:val="00035AC7"/>
    <w:rsid w:val="000B3811"/>
    <w:rsid w:val="00162C8F"/>
    <w:rsid w:val="00255FC0"/>
    <w:rsid w:val="002E79AD"/>
    <w:rsid w:val="00472326"/>
    <w:rsid w:val="00493439"/>
    <w:rsid w:val="00746CEF"/>
    <w:rsid w:val="007B0511"/>
    <w:rsid w:val="00916767"/>
    <w:rsid w:val="00A858BB"/>
    <w:rsid w:val="00E4050D"/>
    <w:rsid w:val="00FD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4050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2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2C8F"/>
  </w:style>
  <w:style w:type="paragraph" w:styleId="Zpat">
    <w:name w:val="footer"/>
    <w:basedOn w:val="Normln"/>
    <w:link w:val="ZpatChar"/>
    <w:uiPriority w:val="99"/>
    <w:unhideWhenUsed/>
    <w:rsid w:val="00162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2C8F"/>
  </w:style>
  <w:style w:type="paragraph" w:styleId="Textbubliny">
    <w:name w:val="Balloon Text"/>
    <w:basedOn w:val="Normln"/>
    <w:link w:val="TextbublinyChar"/>
    <w:uiPriority w:val="99"/>
    <w:semiHidden/>
    <w:unhideWhenUsed/>
    <w:rsid w:val="00472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232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E4050D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E4050D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E4050D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4050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2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2C8F"/>
  </w:style>
  <w:style w:type="paragraph" w:styleId="Zpat">
    <w:name w:val="footer"/>
    <w:basedOn w:val="Normln"/>
    <w:link w:val="ZpatChar"/>
    <w:uiPriority w:val="99"/>
    <w:unhideWhenUsed/>
    <w:rsid w:val="00162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2C8F"/>
  </w:style>
  <w:style w:type="paragraph" w:styleId="Textbubliny">
    <w:name w:val="Balloon Text"/>
    <w:basedOn w:val="Normln"/>
    <w:link w:val="TextbublinyChar"/>
    <w:uiPriority w:val="99"/>
    <w:semiHidden/>
    <w:unhideWhenUsed/>
    <w:rsid w:val="00472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232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E4050D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E4050D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E4050D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8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D3ADB-B052-4469-98BD-15237CD3A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29</Pages>
  <Words>6935</Words>
  <Characters>37463</Characters>
  <Application>Microsoft Office Word</Application>
  <DocSecurity>0</DocSecurity>
  <Lines>312</Lines>
  <Paragraphs>88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Kloučková Pavlína</cp:lastModifiedBy>
  <cp:revision>5</cp:revision>
  <cp:lastPrinted>2021-12-20T12:59:00Z</cp:lastPrinted>
  <dcterms:created xsi:type="dcterms:W3CDTF">2021-12-20T12:46:00Z</dcterms:created>
  <dcterms:modified xsi:type="dcterms:W3CDTF">2021-12-20T12:59:00Z</dcterms:modified>
</cp:coreProperties>
</file>